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6F903">
      <w:pPr>
        <w:adjustRightInd w:val="0"/>
        <w:snapToGrid w:val="0"/>
        <w:spacing w:after="120" w:line="600" w:lineRule="exact"/>
        <w:jc w:val="both"/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附件2</w:t>
      </w:r>
    </w:p>
    <w:p w14:paraId="25B00179">
      <w:pPr>
        <w:spacing w:line="600" w:lineRule="exact"/>
        <w:jc w:val="center"/>
        <w:rPr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促进湖北省中医药产业高质量发展的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若干措施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）》起草说明</w:t>
      </w:r>
    </w:p>
    <w:p w14:paraId="5FE18D5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40" w:lineRule="exact"/>
        <w:textAlignment w:val="auto"/>
        <w:rPr>
          <w:color w:val="auto"/>
        </w:rPr>
      </w:pPr>
    </w:p>
    <w:p w14:paraId="3EE57E8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707" w:firstLineChars="221"/>
        <w:textAlignment w:val="auto"/>
        <w:rPr>
          <w:rFonts w:hint="eastAsia" w:ascii="times new roma" w:eastAsia="仿宋_GB2312"/>
          <w:snapToGrid w:val="0"/>
          <w:color w:val="auto"/>
          <w:sz w:val="32"/>
          <w:szCs w:val="28"/>
        </w:rPr>
      </w:pPr>
      <w:r>
        <w:rPr>
          <w:rFonts w:hint="eastAsia" w:ascii="times new roma" w:eastAsia="仿宋_GB2312"/>
          <w:snapToGrid w:val="0"/>
          <w:color w:val="auto"/>
          <w:sz w:val="32"/>
          <w:szCs w:val="28"/>
        </w:rPr>
        <w:t>根据安排，现将</w:t>
      </w:r>
      <w:r>
        <w:rPr>
          <w:rFonts w:ascii="times new roma" w:eastAsia="仿宋_GB2312"/>
          <w:snapToGrid w:val="0"/>
          <w:color w:val="auto"/>
          <w:sz w:val="32"/>
          <w:szCs w:val="28"/>
        </w:rPr>
        <w:t>《</w:t>
      </w:r>
      <w:r>
        <w:rPr>
          <w:rFonts w:hint="eastAsia" w:ascii="times new roma" w:eastAsia="仿宋_GB2312"/>
          <w:snapToGrid w:val="0"/>
          <w:color w:val="auto"/>
          <w:sz w:val="32"/>
          <w:szCs w:val="28"/>
          <w:lang w:val="en-US" w:eastAsia="zh-CN"/>
        </w:rPr>
        <w:t>关于</w:t>
      </w:r>
      <w:r>
        <w:rPr>
          <w:rFonts w:ascii="times new roma" w:eastAsia="仿宋_GB2312"/>
          <w:snapToGrid w:val="0"/>
          <w:color w:val="auto"/>
          <w:sz w:val="32"/>
          <w:szCs w:val="28"/>
        </w:rPr>
        <w:t>促进湖北省中医药产业高质量发展的</w:t>
      </w:r>
      <w:r>
        <w:rPr>
          <w:rFonts w:hint="eastAsia" w:ascii="times new roma" w:eastAsia="仿宋_GB2312"/>
          <w:snapToGrid w:val="0"/>
          <w:color w:val="auto"/>
          <w:sz w:val="32"/>
          <w:szCs w:val="28"/>
          <w:lang w:val="en-US" w:eastAsia="zh-CN"/>
        </w:rPr>
        <w:t>若干措施</w:t>
      </w:r>
      <w:r>
        <w:rPr>
          <w:rFonts w:ascii="times new roma" w:eastAsia="仿宋_GB2312"/>
          <w:snapToGrid w:val="0"/>
          <w:color w:val="auto"/>
          <w:sz w:val="32"/>
          <w:szCs w:val="28"/>
        </w:rPr>
        <w:t>（</w:t>
      </w:r>
      <w:r>
        <w:rPr>
          <w:rFonts w:hint="eastAsia" w:ascii="times new roma" w:eastAsia="仿宋_GB2312"/>
          <w:snapToGrid w:val="0"/>
          <w:color w:val="auto"/>
          <w:sz w:val="32"/>
          <w:szCs w:val="28"/>
          <w:lang w:val="en-US" w:eastAsia="zh-CN"/>
        </w:rPr>
        <w:t>征求意见稿</w:t>
      </w:r>
      <w:r>
        <w:rPr>
          <w:rFonts w:ascii="times new roma" w:eastAsia="仿宋_GB2312"/>
          <w:snapToGrid w:val="0"/>
          <w:color w:val="auto"/>
          <w:sz w:val="32"/>
          <w:szCs w:val="28"/>
        </w:rPr>
        <w:t>）》</w:t>
      </w:r>
      <w:r>
        <w:rPr>
          <w:rFonts w:hint="eastAsia" w:ascii="仿宋_GB2312" w:eastAsia="仿宋_GB2312"/>
          <w:color w:val="auto"/>
          <w:sz w:val="32"/>
          <w:szCs w:val="32"/>
        </w:rPr>
        <w:t>（以下简称《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若干措施</w:t>
      </w:r>
      <w:r>
        <w:rPr>
          <w:rFonts w:hint="eastAsia" w:ascii="仿宋_GB2312" w:eastAsia="仿宋_GB2312"/>
          <w:color w:val="auto"/>
          <w:sz w:val="32"/>
          <w:szCs w:val="32"/>
        </w:rPr>
        <w:t>》）的起草情况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说明</w:t>
      </w:r>
      <w:r>
        <w:rPr>
          <w:rFonts w:hint="eastAsia" w:ascii="仿宋_GB2312" w:eastAsia="仿宋_GB2312"/>
          <w:color w:val="auto"/>
          <w:sz w:val="32"/>
          <w:szCs w:val="32"/>
        </w:rPr>
        <w:t>如下：</w:t>
      </w:r>
    </w:p>
    <w:p w14:paraId="3CC14A4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707" w:firstLineChars="221"/>
        <w:textAlignment w:val="auto"/>
        <w:rPr>
          <w:rFonts w:hint="eastAsia" w:ascii="楷体_GB2312" w:hAnsi="楷体_GB2312" w:eastAsia="楷体_GB2312"/>
          <w:snapToGrid w:val="0"/>
          <w:color w:val="auto"/>
          <w:sz w:val="32"/>
          <w:szCs w:val="28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一、起草背景</w:t>
      </w:r>
    </w:p>
    <w:p w14:paraId="01BAC03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707" w:firstLineChars="221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  <w:t>中医药产业是我省突破性发展生命健康产业的重要组成部分，是推动中医药强省建设、服务乡村振兴战略的关键支撑。当前，国家层面高度重视中医药产业发展，</w:t>
      </w:r>
      <w:r>
        <w:rPr>
          <w:rFonts w:hint="eastAsia" w:ascii="仿宋_GB2312" w:eastAsia="仿宋_GB2312"/>
          <w:color w:val="auto"/>
          <w:sz w:val="32"/>
          <w:szCs w:val="32"/>
        </w:rPr>
        <w:t>2025年3月20日，国务院办公厅印发《关于提升中药质量促进中医药产业高质量发展的意见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（国办发〔2025〕11号）</w:t>
      </w:r>
      <w:r>
        <w:rPr>
          <w:rFonts w:hint="eastAsia" w:ascii="仿宋_GB2312" w:eastAsia="仿宋_GB2312"/>
          <w:color w:val="auto"/>
          <w:sz w:val="32"/>
          <w:szCs w:val="32"/>
        </w:rPr>
        <w:t>》，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  <w:t>对全产业链质量提升、科技创新、人才培养等作出系统部署，为我省推动中医药产业高质量发展指明了方向、提供了遵循。</w:t>
      </w:r>
    </w:p>
    <w:p w14:paraId="4742D743">
      <w:pPr>
        <w:pStyle w:val="3"/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  <w:t>河南、山西等兄弟省市已相继出台配套政策，在道地药材保护、产业集聚发展、品牌培育等方面形成了各具特色的经验做法。我省作为中医药大省，拥有“十大楚药”道地药材资源禀赋，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lang w:val="en-US" w:eastAsia="zh-CN"/>
        </w:rPr>
        <w:t>积淀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  <w:t>李时珍、炎帝神农等深厚文化底蕴，拥有马应龙、健民等知名企业和一批专精特新中小企业，具备良好的产业基础。但对照国家</w:t>
      </w:r>
      <w:r>
        <w:rPr>
          <w:rFonts w:ascii="仿宋_GB2312" w:hAnsi="仿宋_GB2312" w:eastAsia="仿宋_GB2312" w:cs="仿宋_GB2312"/>
          <w:color w:val="0F1115"/>
          <w:sz w:val="32"/>
          <w:szCs w:val="32"/>
        </w:rPr>
        <w:t>中医药发展新部署新要求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  <w:t>、对标先进省份</w:t>
      </w:r>
      <w:r>
        <w:rPr>
          <w:rFonts w:ascii="仿宋_GB2312" w:hAnsi="仿宋_GB2312" w:eastAsia="仿宋_GB2312" w:cs="仿宋_GB2312"/>
          <w:color w:val="0F1115"/>
          <w:sz w:val="32"/>
          <w:szCs w:val="32"/>
        </w:rPr>
        <w:t>发展实践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  <w:t>，我省中医药产业仍面临</w:t>
      </w:r>
      <w:r>
        <w:rPr>
          <w:rFonts w:ascii="仿宋_GB2312" w:hAnsi="仿宋_GB2312" w:eastAsia="仿宋_GB2312" w:cs="仿宋_GB2312"/>
          <w:b w:val="0"/>
          <w:bCs w:val="0"/>
          <w:color w:val="0F1115"/>
          <w:sz w:val="32"/>
          <w:szCs w:val="32"/>
        </w:rPr>
        <w:t>道地药材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  <w:t>资源保护利用</w:t>
      </w:r>
      <w:r>
        <w:rPr>
          <w:rFonts w:ascii="仿宋_GB2312" w:hAnsi="仿宋_GB2312" w:eastAsia="仿宋_GB2312" w:cs="仿宋_GB2312"/>
          <w:b w:val="0"/>
          <w:bCs w:val="0"/>
          <w:color w:val="0F1115"/>
          <w:sz w:val="32"/>
          <w:szCs w:val="32"/>
        </w:rPr>
        <w:t>不充分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  <w:t>、产业链条</w:t>
      </w:r>
      <w:r>
        <w:rPr>
          <w:rFonts w:ascii="仿宋_GB2312" w:hAnsi="仿宋_GB2312" w:eastAsia="仿宋_GB2312" w:cs="仿宋_GB2312"/>
          <w:b w:val="0"/>
          <w:bCs w:val="0"/>
          <w:color w:val="0F1115"/>
          <w:sz w:val="32"/>
          <w:szCs w:val="32"/>
        </w:rPr>
        <w:t>不够健全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  <w:t>、品牌影响力有待提升、科技创新支撑不强等短板。</w:t>
      </w:r>
    </w:p>
    <w:p w14:paraId="1BCA7D2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707" w:firstLineChars="221"/>
        <w:textAlignment w:val="auto"/>
        <w:rPr>
          <w:rFonts w:hint="eastAsia" w:ascii="黑体" w:hAnsi="黑体" w:eastAsia="黑体"/>
          <w:snapToGrid/>
          <w:color w:val="auto"/>
          <w:sz w:val="32"/>
          <w:szCs w:val="32"/>
        </w:rPr>
      </w:pPr>
      <w:r>
        <w:rPr>
          <w:rFonts w:hint="eastAsia" w:ascii="黑体" w:hAnsi="黑体" w:eastAsia="黑体"/>
          <w:snapToGrid/>
          <w:color w:val="auto"/>
          <w:sz w:val="32"/>
          <w:szCs w:val="32"/>
        </w:rPr>
        <w:t>二</w:t>
      </w:r>
      <w:r>
        <w:rPr>
          <w:rFonts w:hint="eastAsia" w:ascii="黑体" w:hAnsi="黑体" w:eastAsia="黑体"/>
          <w:snapToGrid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napToGrid/>
          <w:color w:val="auto"/>
          <w:sz w:val="32"/>
          <w:szCs w:val="32"/>
        </w:rPr>
        <w:t>起草过程</w:t>
      </w:r>
    </w:p>
    <w:p w14:paraId="01F0EA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  <w:t>根据省政府工作部署，省卫健委牵头，会同省发改委、省经信厅、省农业农村厅、省药监局等部门，组建工作专班，深入学习领会国家文件精神，借鉴河南、山西等省市经验做法，结合我省中医药产业发展现状和“十五五”规划编制思路，经过广泛调研、专题论证、多轮征求意见，形成了《若干措施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lang w:val="en-US" w:eastAsia="zh-CN"/>
        </w:rPr>
        <w:t>征求意见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  <w:t>稿）》。在起草过程中，重点把握了以下三个原则：一是坚持目标导向，聚焦“十大楚药”和优势产区，明确可量化、可考核的发展目标；二是坚持问题导向，针对产业链关键环节精准施策；三是坚持协同导向，强化部门联动和政策集成。</w:t>
      </w:r>
    </w:p>
    <w:p w14:paraId="711AE20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707" w:firstLineChars="221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三、主要内容</w:t>
      </w:r>
    </w:p>
    <w:p w14:paraId="3DCBA5B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40" w:lineRule="exact"/>
        <w:ind w:firstLine="707" w:firstLineChars="221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《</w:t>
      </w:r>
      <w:r>
        <w:rPr>
          <w:rFonts w:hint="eastAsia" w:ascii="times new roma" w:eastAsia="仿宋_GB2312"/>
          <w:snapToGrid w:val="0"/>
          <w:color w:val="auto"/>
          <w:sz w:val="32"/>
          <w:szCs w:val="28"/>
          <w:lang w:val="en-US" w:eastAsia="zh-CN"/>
        </w:rPr>
        <w:t>若干措施</w:t>
      </w:r>
      <w:r>
        <w:rPr>
          <w:rFonts w:ascii="仿宋_GB2312" w:eastAsia="仿宋_GB2312"/>
          <w:color w:val="auto"/>
          <w:sz w:val="32"/>
          <w:szCs w:val="32"/>
        </w:rPr>
        <w:t>》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共6部分，19</w:t>
      </w:r>
      <w:r>
        <w:rPr>
          <w:rFonts w:hint="eastAsia" w:ascii="仿宋_GB2312" w:eastAsia="仿宋_GB2312"/>
          <w:color w:val="auto"/>
          <w:sz w:val="32"/>
          <w:szCs w:val="32"/>
        </w:rPr>
        <w:t>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其中：</w:t>
      </w:r>
    </w:p>
    <w:p w14:paraId="75EEF91E">
      <w:pPr>
        <w:spacing w:line="640" w:lineRule="exact"/>
        <w:ind w:firstLine="710" w:firstLineChars="221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val="en-US" w:eastAsia="zh-CN"/>
        </w:rPr>
        <w:t>第一部分为保障优质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  <w:t>中药材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val="en-US" w:eastAsia="zh-CN"/>
        </w:rPr>
        <w:t>供给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  <w:t>。</w:t>
      </w:r>
      <w:r>
        <w:rPr>
          <w:rFonts w:hint="eastAsia" w:ascii="times new roma" w:hAnsi="方正小标宋_GBK" w:eastAsia="仿宋_GB2312"/>
          <w:b/>
          <w:bCs/>
          <w:snapToGrid w:val="0"/>
          <w:color w:val="auto"/>
          <w:sz w:val="32"/>
          <w:szCs w:val="28"/>
          <w:lang w:val="en-US" w:eastAsia="zh-CN"/>
        </w:rPr>
        <w:t>一是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加强中药资源保护利用。依法加强野生动植物中医药资源保护，因地制宜建设3个以上省级药用植物种质资源库（圃）。支持开展珍稀、濒危及特有中药资源繁育、仿生、替代技术攻关</w:t>
      </w:r>
      <w:r>
        <w:rPr>
          <w:rFonts w:hint="eastAsia" w:ascii="仿宋_GB2312" w:hAnsi="方正小标宋_GBK" w:eastAsia="仿宋_GB2312" w:cs="方正小标宋_GBK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eastAsia="仿宋_GB2312" w:cs="方正小标宋_GBK"/>
          <w:b/>
          <w:bCs/>
          <w:color w:val="auto"/>
          <w:kern w:val="0"/>
          <w:sz w:val="32"/>
          <w:szCs w:val="32"/>
          <w:lang w:val="en-US" w:eastAsia="zh-CN" w:bidi="ar-SA"/>
        </w:rPr>
        <w:t>二是</w:t>
      </w:r>
      <w:r>
        <w:rPr>
          <w:rFonts w:hint="default" w:ascii="仿宋_GB2312" w:eastAsia="仿宋_GB2312" w:cs="方正小标宋_GBK"/>
          <w:color w:val="auto"/>
          <w:kern w:val="0"/>
          <w:sz w:val="32"/>
          <w:szCs w:val="32"/>
          <w:lang w:val="en-US" w:eastAsia="zh-CN" w:bidi="ar-SA"/>
        </w:rPr>
        <w:t>发展中药材现代种业。</w:t>
      </w:r>
      <w:r>
        <w:rPr>
          <w:rFonts w:hint="default" w:ascii="仿宋_GB2312" w:hAnsi="方正小标宋_GBK" w:eastAsia="仿宋_GB2312" w:cs="方正小标宋_GBK"/>
          <w:color w:val="auto"/>
          <w:sz w:val="32"/>
          <w:szCs w:val="32"/>
          <w:lang w:val="en-US" w:eastAsia="zh-CN"/>
        </w:rPr>
        <w:t>推动中药材新品种</w:t>
      </w:r>
      <w:r>
        <w:rPr>
          <w:rFonts w:hint="eastAsia" w:ascii="仿宋_GB2312" w:eastAsia="仿宋_GB2312" w:cs="方正小标宋_GBK"/>
          <w:color w:val="auto"/>
          <w:sz w:val="32"/>
          <w:szCs w:val="32"/>
          <w:lang w:val="en-US" w:eastAsia="zh-CN"/>
        </w:rPr>
        <w:t>选育与</w:t>
      </w:r>
      <w:r>
        <w:rPr>
          <w:rFonts w:hint="default" w:ascii="仿宋_GB2312" w:hAnsi="方正小标宋_GBK" w:eastAsia="仿宋_GB2312" w:cs="方正小标宋_GBK"/>
          <w:color w:val="auto"/>
          <w:sz w:val="32"/>
          <w:szCs w:val="32"/>
          <w:lang w:val="en-US" w:eastAsia="zh-CN"/>
        </w:rPr>
        <w:t>认定，加快现代生物技术应用</w:t>
      </w:r>
      <w:r>
        <w:rPr>
          <w:rFonts w:hint="eastAsia" w:ascii="仿宋_GB2312" w:eastAsia="仿宋_GB2312" w:cs="方正小标宋_GBK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方正小标宋_GBK" w:eastAsia="仿宋_GB2312" w:cs="方正小标宋_GBK"/>
          <w:color w:val="auto"/>
          <w:sz w:val="32"/>
          <w:szCs w:val="32"/>
          <w:lang w:val="en-US" w:eastAsia="zh-CN"/>
        </w:rPr>
        <w:t>分区域开展天麻、黄连、茯苓等道地药材种子种苗繁育、提纯复壮</w:t>
      </w:r>
      <w:r>
        <w:rPr>
          <w:rFonts w:hint="default" w:ascii="仿宋_GB2312" w:hAnsi="方正小标宋_GBK" w:eastAsia="仿宋_GB2312" w:cs="方正小标宋_GBK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eastAsia="仿宋_GB2312" w:cs="方正小标宋_GBK"/>
          <w:b/>
          <w:bCs/>
          <w:color w:val="auto"/>
          <w:kern w:val="0"/>
          <w:sz w:val="32"/>
          <w:szCs w:val="32"/>
          <w:lang w:val="en-US" w:eastAsia="zh-CN" w:bidi="ar-SA"/>
        </w:rPr>
        <w:t>三是</w:t>
      </w:r>
      <w:r>
        <w:rPr>
          <w:rFonts w:hint="default" w:ascii="仿宋_GB2312" w:hAnsi="方正小标宋_GBK" w:eastAsia="仿宋_GB2312" w:cs="方正小标宋_GBK"/>
          <w:color w:val="auto"/>
          <w:sz w:val="32"/>
          <w:szCs w:val="32"/>
          <w:lang w:val="en-US" w:eastAsia="zh-CN"/>
        </w:rPr>
        <w:t>推广中药材规范化种植养殖</w:t>
      </w:r>
      <w:r>
        <w:rPr>
          <w:rFonts w:hint="default" w:ascii="仿宋_GB2312" w:eastAsia="仿宋_GB2312" w:cs="方正小标宋_GBK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聚焦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</w:t>
      </w:r>
      <w:r>
        <w:rPr>
          <w:rFonts w:hint="default" w:ascii="仿宋_GB2312" w:eastAsia="仿宋_GB2312"/>
          <w:color w:val="auto"/>
          <w:sz w:val="32"/>
          <w:szCs w:val="32"/>
        </w:rPr>
        <w:t>十大楚药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”</w:t>
      </w:r>
      <w:r>
        <w:rPr>
          <w:rFonts w:hint="default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eastAsia="仿宋_GB2312"/>
          <w:color w:val="auto"/>
          <w:sz w:val="32"/>
          <w:szCs w:val="32"/>
        </w:rPr>
        <w:t>坚持道地品种和优势产区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</w:t>
      </w:r>
      <w:r>
        <w:rPr>
          <w:rFonts w:hint="default" w:ascii="仿宋_GB2312" w:eastAsia="仿宋_GB2312"/>
          <w:color w:val="auto"/>
          <w:sz w:val="32"/>
          <w:szCs w:val="32"/>
        </w:rPr>
        <w:t>双集中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”</w:t>
      </w:r>
      <w:bookmarkStart w:id="0" w:name="_GoBack"/>
      <w:bookmarkEnd w:id="0"/>
      <w:r>
        <w:rPr>
          <w:rFonts w:hint="default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eastAsia="仿宋_GB2312"/>
          <w:color w:val="auto"/>
          <w:sz w:val="32"/>
          <w:szCs w:val="32"/>
        </w:rPr>
        <w:t>推广绿色防控、仿生栽培、连作障碍消减等生态种植模式</w:t>
      </w:r>
      <w:r>
        <w:rPr>
          <w:rFonts w:hint="default" w:ascii="仿宋_GB2312" w:hAnsi="方正小标宋_GBK" w:eastAsia="仿宋_GB2312" w:cs="方正小标宋_GBK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cs="方正小标宋_GBK"/>
          <w:b/>
          <w:bCs/>
          <w:color w:val="auto"/>
          <w:kern w:val="0"/>
          <w:sz w:val="32"/>
          <w:szCs w:val="32"/>
          <w:lang w:val="en-US" w:eastAsia="zh-CN" w:bidi="ar-SA"/>
        </w:rPr>
        <w:t>四是</w:t>
      </w:r>
      <w:r>
        <w:rPr>
          <w:rFonts w:hint="eastAsia" w:ascii="仿宋_GB2312" w:hAnsi="方正小标宋_GBK" w:eastAsia="仿宋_GB2312" w:cs="方正小标宋_GBK"/>
          <w:color w:val="auto"/>
          <w:sz w:val="32"/>
          <w:szCs w:val="32"/>
          <w:lang w:val="en-US" w:eastAsia="zh-CN"/>
        </w:rPr>
        <w:t>加强</w:t>
      </w:r>
      <w:r>
        <w:rPr>
          <w:rFonts w:hint="eastAsia" w:ascii="仿宋_GB2312" w:hAnsi="方正小标宋_GBK" w:eastAsia="仿宋_GB2312" w:cs="方正小标宋_GBK"/>
          <w:color w:val="auto"/>
          <w:sz w:val="32"/>
          <w:szCs w:val="32"/>
        </w:rPr>
        <w:t>中药材流通储备</w:t>
      </w:r>
      <w:r>
        <w:rPr>
          <w:rFonts w:hint="eastAsia" w:ascii="仿宋_GB2312" w:eastAsia="仿宋_GB2312" w:cs="方正小标宋_GBK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鼓励中药企业向道地药材产地延伸产业链，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打造中药材智能流通仓储管理体系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D581F0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40" w:lineRule="exact"/>
        <w:ind w:firstLine="710" w:firstLineChars="221"/>
        <w:textAlignment w:val="auto"/>
        <w:rPr>
          <w:rFonts w:hint="eastAsia" w:ascii="仿宋_GB2312" w:hAnsi="仿宋_GB2312" w:eastAsia="仿宋_GB2312" w:cs="方正楷体_GBK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val="en-US" w:eastAsia="zh-CN"/>
        </w:rPr>
        <w:t>第二部分为推进中药产业转型升级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方正小标宋_GBK" w:eastAsia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仿宋_GB2312" w:hAnsi="方正小标宋_GBK" w:eastAsia="仿宋_GB2312" w:cs="方正小标宋_GBK"/>
          <w:color w:val="auto"/>
          <w:sz w:val="32"/>
          <w:szCs w:val="32"/>
          <w:lang w:val="en-US" w:eastAsia="zh-CN"/>
        </w:rPr>
        <w:t>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育壮大市场主体。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支持中药生产企业开展跨区域兼并重组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，培育壮大市场主体，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培育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  <w:t>3-5家营收超30亿元龙头企业及一批专精特新企业，打造武汉都市圈特色中药产业集群。</w:t>
      </w:r>
      <w:r>
        <w:rPr>
          <w:rFonts w:hint="default" w:ascii="仿宋_GB2312" w:hAnsi="方正小标宋_GBK" w:eastAsia="仿宋_GB2312" w:cs="方正小标宋_GBK"/>
          <w:b/>
          <w:bCs/>
          <w:color w:val="auto"/>
          <w:kern w:val="0"/>
          <w:sz w:val="32"/>
          <w:szCs w:val="32"/>
          <w:lang w:val="en-US" w:eastAsia="zh-CN" w:bidi="ar-SA"/>
        </w:rPr>
        <w:t>二是</w:t>
      </w:r>
      <w:r>
        <w:rPr>
          <w:rFonts w:hint="default" w:ascii="仿宋_GB2312" w:hAnsi="方正小标宋_GBK" w:eastAsia="仿宋_GB2312" w:cs="方正小标宋_GBK"/>
          <w:color w:val="auto"/>
          <w:sz w:val="32"/>
          <w:szCs w:val="32"/>
          <w:lang w:val="en-US" w:eastAsia="zh-CN"/>
        </w:rPr>
        <w:t>提升</w:t>
      </w:r>
      <w:r>
        <w:rPr>
          <w:rFonts w:hint="eastAsia" w:ascii="仿宋_GB2312" w:eastAsia="仿宋_GB2312" w:cs="方正小标宋_GBK"/>
          <w:color w:val="auto"/>
          <w:sz w:val="32"/>
          <w:szCs w:val="32"/>
          <w:lang w:val="en-US" w:eastAsia="zh-CN"/>
        </w:rPr>
        <w:t>“</w:t>
      </w:r>
      <w:r>
        <w:rPr>
          <w:rFonts w:hint="default" w:ascii="仿宋_GB2312" w:hAnsi="方正小标宋_GBK" w:eastAsia="仿宋_GB2312" w:cs="方正小标宋_GBK"/>
          <w:color w:val="auto"/>
          <w:sz w:val="32"/>
          <w:szCs w:val="32"/>
          <w:lang w:val="en-US" w:eastAsia="zh-CN"/>
        </w:rPr>
        <w:t>楚</w:t>
      </w:r>
      <w:r>
        <w:rPr>
          <w:rFonts w:hint="default" w:ascii="仿宋_GB2312" w:hAnsi="方正小标宋_GBK" w:eastAsia="仿宋_GB2312" w:cs="方正小标宋_GBK"/>
          <w:color w:val="auto"/>
          <w:sz w:val="32"/>
          <w:szCs w:val="32"/>
        </w:rPr>
        <w:t>药</w:t>
      </w:r>
      <w:r>
        <w:rPr>
          <w:rFonts w:hint="eastAsia" w:ascii="仿宋_GB2312" w:eastAsia="仿宋_GB2312" w:cs="方正小标宋_GBK"/>
          <w:color w:val="auto"/>
          <w:sz w:val="32"/>
          <w:szCs w:val="32"/>
          <w:lang w:eastAsia="zh-CN"/>
        </w:rPr>
        <w:t>”</w:t>
      </w:r>
      <w:r>
        <w:rPr>
          <w:rFonts w:hint="default" w:ascii="仿宋_GB2312" w:hAnsi="方正小标宋_GBK" w:eastAsia="仿宋_GB2312" w:cs="方正小标宋_GBK"/>
          <w:color w:val="auto"/>
          <w:sz w:val="32"/>
          <w:szCs w:val="32"/>
          <w:lang w:val="en-US" w:eastAsia="zh-CN"/>
        </w:rPr>
        <w:t>制造品质</w:t>
      </w:r>
      <w:r>
        <w:rPr>
          <w:rFonts w:hint="eastAsia" w:ascii="仿宋_GB2312" w:eastAsia="仿宋_GB2312" w:cs="方正小标宋_GBK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鼓励中药企业应用数智化、绿色化技术，持续提升产品品质和生产效能。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支持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运用新技术、新工艺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对已上市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中药大品种进行二次开发</w:t>
      </w:r>
      <w:r>
        <w:rPr>
          <w:rFonts w:hint="eastAsia" w:ascii="仿宋_GB2312" w:hAnsi="仿宋_GB2312" w:eastAsia="仿宋_GB2312" w:cs="方正楷体_GBK"/>
          <w:color w:val="333333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方正楷体_GBK"/>
          <w:b/>
          <w:bCs/>
          <w:color w:val="333333"/>
          <w:kern w:val="0"/>
          <w:sz w:val="32"/>
          <w:szCs w:val="32"/>
          <w:lang w:val="en-US" w:eastAsia="zh-CN" w:bidi="ar-SA"/>
        </w:rPr>
        <w:t>三是</w:t>
      </w:r>
      <w:r>
        <w:rPr>
          <w:rFonts w:hint="default" w:ascii="仿宋_GB2312" w:hAnsi="方正小标宋_GBK" w:eastAsia="仿宋_GB2312" w:cs="方正小标宋_GBK"/>
          <w:color w:val="auto"/>
          <w:sz w:val="32"/>
          <w:szCs w:val="32"/>
          <w:lang w:val="en-US" w:eastAsia="zh-CN"/>
        </w:rPr>
        <w:t>打造“荆楚中药”品牌。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持续建设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“十大楚药”区域公用品牌，规范品牌标识与授权管理，支持蕲艾等创建国家地理标志产品保护示范区。</w:t>
      </w:r>
    </w:p>
    <w:p w14:paraId="391FF64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40" w:lineRule="exact"/>
        <w:ind w:firstLine="643" w:firstLineChars="200"/>
        <w:textAlignment w:val="auto"/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val="en-US" w:eastAsia="zh-CN"/>
        </w:rPr>
        <w:t>第三部分为推动中医药融合开放发展。</w:t>
      </w:r>
      <w:r>
        <w:rPr>
          <w:rFonts w:hint="eastAsia" w:ascii="仿宋_GB2312" w:hAnsi="方正小标宋_GBK" w:eastAsia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营造中医药文化氛围。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 w:bidi="ar"/>
        </w:rPr>
        <w:t>深</w:t>
      </w:r>
      <w:r>
        <w:rPr>
          <w:rFonts w:hint="eastAsia" w:ascii="仿宋_GB2312" w:eastAsia="仿宋_GB2312"/>
          <w:sz w:val="32"/>
          <w:szCs w:val="32"/>
        </w:rPr>
        <w:t>挖炎帝神农、李时珍等中医药文化内涵，</w:t>
      </w:r>
      <w:r>
        <w:rPr>
          <w:rFonts w:hint="eastAsia" w:ascii="仿宋_GB2312" w:eastAsia="仿宋_GB2312" w:cs="宋体"/>
          <w:sz w:val="32"/>
          <w:szCs w:val="32"/>
          <w:lang w:val="en-US" w:eastAsia="zh-CN" w:bidi="ar"/>
        </w:rPr>
        <w:t>打造“李时珍”中医药文化特色标识</w:t>
      </w:r>
      <w:r>
        <w:rPr>
          <w:rFonts w:hint="eastAsia" w:ascii="仿宋_GB2312" w:hAnsi="仿宋_GB2312" w:eastAsia="仿宋_GB2312" w:cs="方正楷体_GBK"/>
          <w:color w:val="333333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方正小标宋_GBK" w:eastAsia="仿宋_GB2312" w:cs="宋体"/>
          <w:b/>
          <w:bCs/>
          <w:color w:val="333333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方正小标宋_GBK" w:eastAsia="仿宋_GB2312" w:cs="宋体"/>
          <w:sz w:val="32"/>
          <w:szCs w:val="32"/>
          <w:lang w:val="en-US" w:eastAsia="zh-CN" w:bidi="ar"/>
        </w:rPr>
        <w:t>融合发展“中医药+”</w:t>
      </w:r>
      <w:r>
        <w:rPr>
          <w:rFonts w:hint="eastAsia" w:ascii="仿宋_GB2312" w:eastAsia="仿宋_GB2312" w:cs="宋体"/>
          <w:sz w:val="32"/>
          <w:szCs w:val="32"/>
          <w:lang w:val="en-US" w:eastAsia="zh-CN" w:bidi="ar"/>
        </w:rPr>
        <w:t>新业态</w:t>
      </w:r>
      <w:r>
        <w:rPr>
          <w:rFonts w:hint="eastAsia" w:ascii="仿宋_GB2312" w:hAnsi="方正小标宋_GBK" w:eastAsia="仿宋_GB2312" w:cs="宋体"/>
          <w:color w:val="333333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方正小标宋_GBK" w:eastAsia="仿宋_GB2312" w:cs="宋体"/>
          <w:sz w:val="32"/>
          <w:szCs w:val="32"/>
          <w:lang w:val="en-US" w:eastAsia="zh-CN" w:bidi="ar"/>
        </w:rPr>
        <w:t>探索</w:t>
      </w:r>
      <w:r>
        <w:rPr>
          <w:rFonts w:hint="eastAsia" w:ascii="仿宋_GB2312" w:eastAsia="仿宋_GB2312" w:cs="宋体"/>
          <w:sz w:val="32"/>
          <w:szCs w:val="32"/>
          <w:lang w:val="en-US" w:eastAsia="zh-CN" w:bidi="ar"/>
        </w:rPr>
        <w:t>推广</w:t>
      </w:r>
      <w:r>
        <w:rPr>
          <w:rFonts w:hint="eastAsia" w:ascii="仿宋_GB2312" w:hAnsi="方正小标宋_GBK" w:eastAsia="仿宋_GB2312" w:cs="宋体"/>
          <w:sz w:val="32"/>
          <w:szCs w:val="32"/>
          <w:lang w:val="en-US" w:eastAsia="zh-CN" w:bidi="ar"/>
        </w:rPr>
        <w:t>食药物质</w:t>
      </w:r>
      <w:r>
        <w:rPr>
          <w:rFonts w:hint="eastAsia" w:ascii="仿宋_GB2312" w:eastAsia="仿宋_GB2312" w:cs="宋体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方正小标宋_GBK" w:eastAsia="仿宋_GB2312" w:cs="宋体"/>
          <w:sz w:val="32"/>
          <w:szCs w:val="32"/>
          <w:lang w:val="en-US" w:eastAsia="zh-CN" w:bidi="ar"/>
        </w:rPr>
        <w:t>健康声称</w:t>
      </w:r>
      <w:r>
        <w:rPr>
          <w:rFonts w:hint="eastAsia" w:ascii="仿宋_GB2312" w:eastAsia="仿宋_GB2312" w:cs="宋体"/>
          <w:sz w:val="32"/>
          <w:szCs w:val="32"/>
          <w:lang w:val="en-US" w:eastAsia="zh-CN" w:bidi="ar"/>
        </w:rPr>
        <w:t>”，支持鄂产</w:t>
      </w:r>
      <w:r>
        <w:rPr>
          <w:rFonts w:hint="eastAsia" w:ascii="仿宋_GB2312" w:eastAsia="仿宋_GB2312" w:cs="宋体"/>
          <w:sz w:val="32"/>
          <w:szCs w:val="32"/>
          <w:lang w:bidi="ar"/>
        </w:rPr>
        <w:t>道地药材</w:t>
      </w:r>
      <w:r>
        <w:rPr>
          <w:rFonts w:hint="eastAsia" w:ascii="仿宋_GB2312" w:eastAsia="仿宋_GB2312" w:cs="宋体"/>
          <w:sz w:val="32"/>
          <w:szCs w:val="32"/>
          <w:lang w:val="en-US" w:eastAsia="zh-CN" w:bidi="ar"/>
        </w:rPr>
        <w:t>纳</w:t>
      </w:r>
      <w:r>
        <w:rPr>
          <w:rFonts w:hint="eastAsia" w:ascii="仿宋_GB2312" w:eastAsia="仿宋_GB2312" w:cs="宋体"/>
          <w:sz w:val="32"/>
          <w:szCs w:val="32"/>
          <w:lang w:bidi="ar"/>
        </w:rPr>
        <w:t>入国家食药物质目录</w:t>
      </w:r>
      <w:r>
        <w:rPr>
          <w:rFonts w:hint="eastAsia" w:ascii="仿宋_GB2312" w:eastAsia="仿宋_GB2312" w:cs="宋体"/>
          <w:sz w:val="32"/>
          <w:szCs w:val="32"/>
          <w:lang w:eastAsia="zh-CN" w:bidi="ar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推动中药资源循环利用，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 w:bidi="ar"/>
        </w:rPr>
        <w:t>开发保健食品、日化用品等衍生产品。</w:t>
      </w:r>
      <w:r>
        <w:rPr>
          <w:rFonts w:hint="eastAsia" w:ascii="仿宋_GB2312" w:hAnsi="仿宋_GB2312" w:eastAsia="仿宋_GB2312" w:cs="方正楷体_GBK"/>
          <w:b/>
          <w:bCs/>
          <w:color w:val="333333"/>
          <w:kern w:val="0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eastAsia="仿宋_GB2312" w:cs="宋体"/>
          <w:sz w:val="32"/>
          <w:szCs w:val="32"/>
          <w:lang w:val="en-US" w:eastAsia="zh-CN" w:bidi="ar"/>
        </w:rPr>
        <w:t>深化</w:t>
      </w:r>
      <w:r>
        <w:rPr>
          <w:rFonts w:hint="eastAsia" w:ascii="仿宋_GB2312" w:hAnsi="方正小标宋_GBK" w:eastAsia="仿宋_GB2312" w:cs="宋体"/>
          <w:sz w:val="32"/>
          <w:szCs w:val="32"/>
          <w:lang w:val="en-US" w:eastAsia="zh-CN" w:bidi="ar"/>
        </w:rPr>
        <w:t>中医药对外合作。</w:t>
      </w:r>
      <w:r>
        <w:rPr>
          <w:rFonts w:hint="eastAsia" w:ascii="仿宋_GB2312" w:eastAsia="仿宋_GB2312"/>
          <w:sz w:val="32"/>
          <w:szCs w:val="32"/>
        </w:rPr>
        <w:t>积极参与“新时代神农尝百草”行动，深化中国-阿尔及利亚中医中心建设，加强与“一带一路”沿线国家中医药交流合作。</w:t>
      </w:r>
    </w:p>
    <w:p w14:paraId="500D3D8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40" w:lineRule="exact"/>
        <w:ind w:firstLine="710" w:firstLineChars="221"/>
        <w:textAlignment w:val="auto"/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val="en-US" w:eastAsia="zh-CN"/>
        </w:rPr>
        <w:t>第四部分为强化中药临床应用支持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方正小标宋_GBK" w:eastAsia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 w:bidi="ar"/>
        </w:rPr>
        <w:t>加强中药新药械审批服务。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构建覆盖中药研发、审评、临床试验、注册审批全链条的服务体系。建立中药新药审评审批“绿色通道”，对符合条件的品种优先审评。</w:t>
      </w:r>
      <w:r>
        <w:rPr>
          <w:rFonts w:hint="eastAsia" w:ascii="仿宋_GB2312" w:hAnsi="仿宋_GB2312" w:eastAsia="仿宋_GB2312" w:cs="方正楷体_GBK"/>
          <w:b/>
          <w:bCs/>
          <w:color w:val="333333"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加强医疗机构中药配备使用。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强化中医医疗机构优势病种诊疗规范指导，鼓励配备使用中药创新药。支持中药参与集采及国家谈判，优先使用质量可靠、临床价值明确的中选品种。</w:t>
      </w:r>
    </w:p>
    <w:p w14:paraId="01B5676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40" w:lineRule="exact"/>
        <w:ind w:firstLine="710" w:firstLineChars="221"/>
        <w:textAlignment w:val="auto"/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val="en-US" w:eastAsia="zh-CN"/>
        </w:rPr>
        <w:t>第五部分为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z w:val="32"/>
          <w:szCs w:val="32"/>
          <w:lang w:val="en-US" w:eastAsia="zh-CN"/>
        </w:rPr>
        <w:t>推进中医药科技创新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方正小标宋_GBK" w:eastAsia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强化科研平台支撑。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支持湖北时珍实验室争创国家级科技创新平台。引进培育CRO等研发机构，建设概念验证中心、中试基地</w:t>
      </w:r>
      <w:r>
        <w:rPr>
          <w:rFonts w:hint="eastAsia" w:ascii="仿宋_GB2312" w:hAnsi="仿宋_GB2312" w:eastAsia="仿宋_GB2312" w:cs="方正楷体_GBK"/>
          <w:color w:val="333333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方正楷体_GBK"/>
          <w:b/>
          <w:bCs/>
          <w:color w:val="333333"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推动创新药械研发。强化企业科技创新主体地位，以“揭榜挂帅”方式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重大科研选题，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探索应用人工智能技术。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推动中药创新药、古代经典名方、医疗机构制剂、中医药诊疗器械研发与转化。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完善质量标准体系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支持企业参与中药饮片国家标准与地方标准制修订。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动态调整趁鲜切制目录，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30个以上鄂产道地药材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趁鲜切制标准制定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</w:t>
      </w:r>
    </w:p>
    <w:p w14:paraId="240CAC0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40" w:lineRule="exact"/>
        <w:ind w:firstLine="710" w:firstLineChars="221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val="en-US" w:eastAsia="zh-CN"/>
        </w:rPr>
        <w:t>第六部分为加强组织保障。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加强统筹领导。完善“链长+链主+链创”工作机制，明确部门职责，加强工作调度，形成工作合力。指导重点地区编制产业发展规，建立省市县联动推进机制。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加强中医药人才培养。坚持教育、科技、产业、人才一体化发展，建立健全符合中医药产业发展规律的人才培养体系。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大政策保障力度。健全“投、补、贷、保”政策工具，拓展“拨改投”应用场景，推动要素向中医药产业聚集。四是统筹产业发展与安全。运用专利、商标、地理标志、商业秘密、中药品种保护等方式，加强湖北特色中药资源、炮制及加工核心技术工艺保护。</w:t>
      </w:r>
    </w:p>
    <w:sectPr>
      <w:pgSz w:w="11906" w:h="16838"/>
      <w:pgMar w:top="2098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8B8926A-433A-4BC7-8178-C5A735ED3CF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imes new roma">
    <w:altName w:val="汉仪君黑-45简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0243A5E-2C22-48E8-ABF5-DA40EDF6746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92D1115-F625-4273-A046-E642CD94570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2AD216D-1AE2-45E1-AC13-C4E99A7076D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BEB1B4C-C466-432E-9D3B-F6C06D79FE6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1C38144-8D2C-4ADD-9CE8-643F213507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B1053"/>
    <w:rsid w:val="1C2558AE"/>
    <w:rsid w:val="2A6C7357"/>
    <w:rsid w:val="68FA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2143</Words>
  <Characters>2158</Characters>
  <Lines>0</Lines>
  <Paragraphs>0</Paragraphs>
  <TotalTime>8</TotalTime>
  <ScaleCrop>false</ScaleCrop>
  <LinksUpToDate>false</LinksUpToDate>
  <CharactersWithSpaces>2158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2025-07-13T08:33:00Z</dcterms:created>
  <dc:creator>司喵喵</dc:creator>
  <cp:lastModifiedBy>走失了的猫</cp:lastModifiedBy>
  <dcterms:modified xsi:type="dcterms:W3CDTF">2026-04-02T01:50:43Z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548E6DDDAB114D30B5AB75596683E55A_12</vt:lpwstr>
  </property>
  <property fmtid="{D5CDD505-2E9C-101B-9397-08002B2CF9AE}" pid="4" name="KSOTemplateDocerSaveRecord">
    <vt:lpwstr>eyJoZGlkIjoiMmM4ZDNhNmNhOWU5OWM0MzUwYzFlMjMxODA1YjE4NzAiLCJ1c2VySWQiOiIyMDQyNjc2MDQifQ==</vt:lpwstr>
  </property>
</Properties>
</file>