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1EE9" w14:textId="77777777" w:rsidR="00000000" w:rsidRDefault="00000000">
      <w:pPr>
        <w:widowControl/>
        <w:spacing w:line="600" w:lineRule="exact"/>
        <w:rPr>
          <w:rFonts w:ascii="仿宋_GB2312" w:eastAsia="仿宋_GB2312" w:hAnsi="仿宋_GB2312" w:cs="仿宋_GB2312" w:hint="eastAsia"/>
          <w:color w:val="404040"/>
          <w:sz w:val="32"/>
          <w:szCs w:val="32"/>
          <w:shd w:val="clear" w:color="auto" w:fill="FFFFFF"/>
        </w:rPr>
      </w:pPr>
      <w:r>
        <w:rPr>
          <w:rFonts w:ascii="方正小标宋_GBK" w:eastAsia="方正小标宋_GBK" w:hint="eastAsia"/>
          <w:color w:val="404040"/>
          <w:sz w:val="32"/>
          <w:szCs w:val="32"/>
        </w:rPr>
        <w:t>附件1</w:t>
      </w:r>
    </w:p>
    <w:p w14:paraId="59BACD2D" w14:textId="77777777" w:rsidR="00000000" w:rsidRDefault="00000000">
      <w:pPr>
        <w:widowControl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14:paraId="6E5E0CD7" w14:textId="77777777" w:rsidR="00000000" w:rsidRDefault="00000000">
      <w:pPr>
        <w:widowControl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医疗护理员培训管理和免陪照护服务</w:t>
      </w:r>
    </w:p>
    <w:p w14:paraId="291F779D" w14:textId="77777777" w:rsidR="00000000" w:rsidRDefault="00000000">
      <w:pPr>
        <w:widowControl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研究指南</w:t>
      </w:r>
    </w:p>
    <w:p w14:paraId="373C7DE7" w14:textId="77777777" w:rsidR="00000000" w:rsidRDefault="00000000">
      <w:pPr>
        <w:widowControl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14:paraId="26B6E5C7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t>一、项目类别</w:t>
      </w:r>
    </w:p>
    <w:p w14:paraId="5199DB7C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聚焦医疗护理员培训管理和免陪照护服务方面，设立二类项目：</w:t>
      </w:r>
    </w:p>
    <w:p w14:paraId="1685F5DF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（一）重点项目</w:t>
      </w:r>
    </w:p>
    <w:p w14:paraId="2C362CFA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1.</w:t>
      </w:r>
      <w:r>
        <w:rPr>
          <w:rFonts w:ascii="宋体" w:eastAsia="仿宋_GB2312" w:hAnsi="宋体" w:hint="eastAsia"/>
          <w:sz w:val="32"/>
          <w:szCs w:val="22"/>
        </w:rPr>
        <w:t>资助额度：</w:t>
      </w:r>
      <w:r>
        <w:rPr>
          <w:rFonts w:ascii="宋体" w:eastAsia="仿宋_GB2312" w:hAnsi="宋体" w:hint="eastAsia"/>
          <w:sz w:val="32"/>
          <w:szCs w:val="22"/>
        </w:rPr>
        <w:t>5</w:t>
      </w:r>
      <w:r>
        <w:rPr>
          <w:rFonts w:ascii="宋体" w:eastAsia="仿宋_GB2312" w:hAnsi="宋体" w:hint="eastAsia"/>
          <w:sz w:val="32"/>
          <w:szCs w:val="22"/>
        </w:rPr>
        <w:t>万元</w:t>
      </w:r>
      <w:r>
        <w:rPr>
          <w:rFonts w:ascii="宋体" w:eastAsia="仿宋_GB2312" w:hAnsi="宋体" w:hint="eastAsia"/>
          <w:sz w:val="32"/>
          <w:szCs w:val="22"/>
        </w:rPr>
        <w:t>/</w:t>
      </w:r>
      <w:r>
        <w:rPr>
          <w:rFonts w:ascii="宋体" w:eastAsia="仿宋_GB2312" w:hAnsi="宋体" w:hint="eastAsia"/>
          <w:sz w:val="32"/>
          <w:szCs w:val="22"/>
        </w:rPr>
        <w:t>项</w:t>
      </w:r>
    </w:p>
    <w:p w14:paraId="356838CE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2.</w:t>
      </w:r>
      <w:r>
        <w:rPr>
          <w:rFonts w:ascii="宋体" w:eastAsia="仿宋_GB2312" w:hAnsi="宋体" w:hint="eastAsia"/>
          <w:sz w:val="32"/>
          <w:szCs w:val="22"/>
        </w:rPr>
        <w:t>立项数量：</w:t>
      </w:r>
      <w:r>
        <w:rPr>
          <w:rFonts w:ascii="宋体" w:eastAsia="仿宋_GB2312" w:hAnsi="宋体" w:hint="eastAsia"/>
          <w:sz w:val="32"/>
          <w:szCs w:val="22"/>
        </w:rPr>
        <w:t>4</w:t>
      </w:r>
      <w:r>
        <w:rPr>
          <w:rFonts w:ascii="宋体" w:eastAsia="仿宋_GB2312" w:hAnsi="宋体" w:hint="eastAsia"/>
          <w:sz w:val="32"/>
          <w:szCs w:val="22"/>
        </w:rPr>
        <w:t>项</w:t>
      </w:r>
    </w:p>
    <w:p w14:paraId="7A580356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3.</w:t>
      </w:r>
      <w:r>
        <w:rPr>
          <w:rFonts w:ascii="宋体" w:eastAsia="仿宋_GB2312" w:hAnsi="宋体" w:hint="eastAsia"/>
          <w:sz w:val="32"/>
          <w:szCs w:val="22"/>
        </w:rPr>
        <w:t>要求：研究内容系统深入，形成可推广、可应用的标准、模式或体系性成果。</w:t>
      </w:r>
    </w:p>
    <w:p w14:paraId="1D84E58B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（二）一般项目</w:t>
      </w:r>
    </w:p>
    <w:p w14:paraId="0E66BD2C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1.</w:t>
      </w:r>
      <w:r>
        <w:rPr>
          <w:rFonts w:ascii="宋体" w:eastAsia="仿宋_GB2312" w:hAnsi="宋体" w:hint="eastAsia"/>
          <w:sz w:val="32"/>
          <w:szCs w:val="22"/>
        </w:rPr>
        <w:t>资助额度：</w:t>
      </w:r>
      <w:r>
        <w:rPr>
          <w:rFonts w:ascii="宋体" w:eastAsia="仿宋_GB2312" w:hAnsi="宋体" w:hint="eastAsia"/>
          <w:sz w:val="32"/>
          <w:szCs w:val="22"/>
        </w:rPr>
        <w:t>2</w:t>
      </w:r>
      <w:r>
        <w:rPr>
          <w:rFonts w:ascii="宋体" w:eastAsia="仿宋_GB2312" w:hAnsi="宋体" w:hint="eastAsia"/>
          <w:sz w:val="32"/>
          <w:szCs w:val="22"/>
        </w:rPr>
        <w:t>万元</w:t>
      </w:r>
      <w:r>
        <w:rPr>
          <w:rFonts w:ascii="宋体" w:eastAsia="仿宋_GB2312" w:hAnsi="宋体" w:hint="eastAsia"/>
          <w:sz w:val="32"/>
          <w:szCs w:val="22"/>
        </w:rPr>
        <w:t>/</w:t>
      </w:r>
      <w:r>
        <w:rPr>
          <w:rFonts w:ascii="宋体" w:eastAsia="仿宋_GB2312" w:hAnsi="宋体" w:hint="eastAsia"/>
          <w:sz w:val="32"/>
          <w:szCs w:val="22"/>
        </w:rPr>
        <w:t>项</w:t>
      </w:r>
    </w:p>
    <w:p w14:paraId="1673F2E4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2.</w:t>
      </w:r>
      <w:r>
        <w:rPr>
          <w:rFonts w:ascii="宋体" w:eastAsia="仿宋_GB2312" w:hAnsi="宋体" w:hint="eastAsia"/>
          <w:sz w:val="32"/>
          <w:szCs w:val="22"/>
        </w:rPr>
        <w:t>立项数量：</w:t>
      </w:r>
      <w:r>
        <w:rPr>
          <w:rFonts w:ascii="宋体" w:eastAsia="仿宋_GB2312" w:hAnsi="宋体" w:hint="eastAsia"/>
          <w:sz w:val="32"/>
          <w:szCs w:val="22"/>
        </w:rPr>
        <w:t>5</w:t>
      </w:r>
      <w:r>
        <w:rPr>
          <w:rFonts w:ascii="宋体" w:eastAsia="仿宋_GB2312" w:hAnsi="宋体" w:hint="eastAsia"/>
          <w:sz w:val="32"/>
          <w:szCs w:val="22"/>
        </w:rPr>
        <w:t>项</w:t>
      </w:r>
    </w:p>
    <w:p w14:paraId="7939C740" w14:textId="77777777" w:rsidR="00000000" w:rsidRDefault="00000000">
      <w:pPr>
        <w:widowControl/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宋体" w:eastAsia="仿宋_GB2312" w:hAnsi="宋体" w:hint="eastAsia"/>
          <w:sz w:val="32"/>
          <w:szCs w:val="22"/>
        </w:rPr>
        <w:t>3.</w:t>
      </w:r>
      <w:r>
        <w:rPr>
          <w:rFonts w:ascii="宋体" w:eastAsia="仿宋_GB2312" w:hAnsi="宋体" w:hint="eastAsia"/>
          <w:sz w:val="32"/>
          <w:szCs w:val="22"/>
        </w:rPr>
        <w:t>要求：针对具体问题开展创新性研究，形成解决方案或政策建议。</w:t>
      </w:r>
    </w:p>
    <w:p w14:paraId="389DEBD2" w14:textId="77777777" w:rsidR="00000000" w:rsidRDefault="00000000">
      <w:pPr>
        <w:widowControl/>
        <w:spacing w:line="600" w:lineRule="exact"/>
        <w:ind w:firstLineChars="200" w:firstLine="640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t>二、项目周期</w:t>
      </w:r>
    </w:p>
    <w:p w14:paraId="1D6C9DA6" w14:textId="77777777" w:rsidR="00000000" w:rsidRDefault="00000000">
      <w:pPr>
        <w:widowControl/>
        <w:spacing w:line="600" w:lineRule="exact"/>
        <w:ind w:firstLineChars="200" w:firstLine="640"/>
        <w:rPr>
          <w:rFonts w:ascii="黑体" w:eastAsia="黑体" w:hAnsi="黑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1</w:t>
      </w:r>
      <w:r>
        <w:rPr>
          <w:rFonts w:ascii="宋体" w:eastAsia="仿宋_GB2312" w:hAnsi="宋体" w:hint="eastAsia"/>
          <w:sz w:val="32"/>
          <w:szCs w:val="22"/>
        </w:rPr>
        <w:t>年（</w:t>
      </w:r>
      <w:r>
        <w:rPr>
          <w:rFonts w:ascii="宋体" w:eastAsia="仿宋_GB2312" w:hAnsi="宋体" w:hint="eastAsia"/>
          <w:sz w:val="32"/>
          <w:szCs w:val="22"/>
        </w:rPr>
        <w:t>2025</w:t>
      </w:r>
      <w:r>
        <w:rPr>
          <w:rFonts w:ascii="宋体" w:eastAsia="仿宋_GB2312" w:hAnsi="宋体" w:hint="eastAsia"/>
          <w:sz w:val="32"/>
          <w:szCs w:val="22"/>
        </w:rPr>
        <w:t>年</w:t>
      </w:r>
      <w:r>
        <w:rPr>
          <w:rFonts w:ascii="宋体" w:eastAsia="仿宋_GB2312" w:hAnsi="宋体" w:hint="eastAsia"/>
          <w:sz w:val="32"/>
          <w:szCs w:val="22"/>
        </w:rPr>
        <w:t>12</w:t>
      </w:r>
      <w:r>
        <w:rPr>
          <w:rFonts w:ascii="宋体" w:eastAsia="仿宋_GB2312" w:hAnsi="宋体" w:hint="eastAsia"/>
          <w:sz w:val="32"/>
          <w:szCs w:val="22"/>
        </w:rPr>
        <w:t>月—</w:t>
      </w:r>
      <w:r>
        <w:rPr>
          <w:rFonts w:ascii="宋体" w:eastAsia="仿宋_GB2312" w:hAnsi="宋体" w:hint="eastAsia"/>
          <w:sz w:val="32"/>
          <w:szCs w:val="22"/>
        </w:rPr>
        <w:t>2026</w:t>
      </w:r>
      <w:r>
        <w:rPr>
          <w:rFonts w:ascii="宋体" w:eastAsia="仿宋_GB2312" w:hAnsi="宋体" w:hint="eastAsia"/>
          <w:sz w:val="32"/>
          <w:szCs w:val="22"/>
        </w:rPr>
        <w:t>年</w:t>
      </w:r>
      <w:r>
        <w:rPr>
          <w:rFonts w:ascii="宋体" w:eastAsia="仿宋_GB2312" w:hAnsi="宋体" w:hint="eastAsia"/>
          <w:sz w:val="32"/>
          <w:szCs w:val="22"/>
        </w:rPr>
        <w:t>12</w:t>
      </w:r>
      <w:r>
        <w:rPr>
          <w:rFonts w:ascii="宋体" w:eastAsia="仿宋_GB2312" w:hAnsi="宋体" w:hint="eastAsia"/>
          <w:sz w:val="32"/>
          <w:szCs w:val="22"/>
        </w:rPr>
        <w:t>月）</w:t>
      </w:r>
    </w:p>
    <w:p w14:paraId="6AE8B248" w14:textId="77777777" w:rsidR="00000000" w:rsidRDefault="00000000">
      <w:pPr>
        <w:widowControl/>
        <w:spacing w:line="600" w:lineRule="exact"/>
        <w:ind w:firstLineChars="200" w:firstLine="640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t>三、项目研究方向</w:t>
      </w:r>
    </w:p>
    <w:p w14:paraId="7C0C7135" w14:textId="77777777" w:rsidR="00000000" w:rsidRDefault="00000000">
      <w:pPr>
        <w:widowControl/>
        <w:spacing w:line="600" w:lineRule="exact"/>
        <w:ind w:firstLineChars="200" w:firstLine="643"/>
        <w:rPr>
          <w:rFonts w:ascii="宋体" w:eastAsia="仿宋_GB2312" w:hAnsi="宋体" w:hint="eastAsia"/>
          <w:b/>
          <w:bCs/>
          <w:sz w:val="32"/>
          <w:szCs w:val="22"/>
        </w:rPr>
      </w:pPr>
      <w:r>
        <w:rPr>
          <w:rFonts w:ascii="宋体" w:eastAsia="仿宋_GB2312" w:hAnsi="宋体" w:hint="eastAsia"/>
          <w:b/>
          <w:bCs/>
          <w:sz w:val="32"/>
          <w:szCs w:val="22"/>
        </w:rPr>
        <w:t>（一）重点项目</w:t>
      </w:r>
    </w:p>
    <w:p w14:paraId="0460049B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1.医疗护理员培训机构质量评估体系构建研究</w:t>
      </w:r>
    </w:p>
    <w:p w14:paraId="729D55A5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lastRenderedPageBreak/>
        <w:t>研究内容：系统调研医疗护理员培训机构的现状与问题；研究并构建一套涵盖管理能力、师资力量、课程设置、实训条件、考核标准、培训质量等多维度的培训机构质量评估指标体系。并研究与之配套的动态认证管理与退出机制，为行业监管与优质培训资源遴选提供科学依据。</w:t>
      </w:r>
    </w:p>
    <w:p w14:paraId="18EB82A5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2.基于岗位胜任力的医疗护理员融合式培训模式与标准化考核研究</w:t>
      </w:r>
    </w:p>
    <w:p w14:paraId="1DFFB668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研究内容：以岗位胜任力模型为核心，研发一套融合线上理论学习与线下技能实操的标准化培训课程体系；设计模块化的培训流程与管理规范；重点针对老年、术后、母婴等典型照护场景，开发专项技能培训模块与配套的实操考核标准，确保培训内容与临床需求无缝衔接。</w:t>
      </w:r>
    </w:p>
    <w:p w14:paraId="76056BAD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3.医院内“免陪照护”服务模式的系统构建、实施路径与效益评价研究</w:t>
      </w:r>
    </w:p>
    <w:p w14:paraId="4900B905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研究内容：明确“免陪照护”服务的内涵、外延与服务边界；研究设计适用于不同等级医院、不同科室特点的多元化组织管理模式（如医院直管、第三方服务外包、医联体协同等）；构建包括服务项目、人员配置、定价机制、风险管控在内的标准化运营方案，并通过实证研究，综合评价其在提升患者满意度、解放家庭劳动力、优化医疗秩序等方面的综合效益。</w:t>
      </w:r>
    </w:p>
    <w:p w14:paraId="3BC6C152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4.区域协同视角下的医疗护理员资源管理与服务信息化平台构建研究</w:t>
      </w:r>
    </w:p>
    <w:p w14:paraId="52F32BB9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lastRenderedPageBreak/>
        <w:t>研究内容：立足于区域（如城市或医联体）层面，以实现医疗护理员资源的优化配置与高效管理为目标。基于免陪照护服务标准体系，设计一个贯通患者</w:t>
      </w:r>
      <w:r>
        <w:rPr>
          <w:rFonts w:ascii="宋体" w:eastAsia="仿宋_GB2312" w:hAnsi="宋体" w:hint="eastAsia"/>
          <w:sz w:val="32"/>
          <w:szCs w:val="22"/>
        </w:rPr>
        <w:t>/</w:t>
      </w:r>
      <w:r>
        <w:rPr>
          <w:rFonts w:ascii="宋体" w:eastAsia="仿宋_GB2312" w:hAnsi="宋体" w:hint="eastAsia"/>
          <w:sz w:val="32"/>
          <w:szCs w:val="22"/>
        </w:rPr>
        <w:t>家属、护理员、护士、管理公司、医院及政府监管部门的业务流程与数据流的信息化平台架构，提出核心功能模块的解决方案，以实现区域内数据的互联互通、服务的统一调度与质量的透明监管。</w:t>
      </w:r>
    </w:p>
    <w:p w14:paraId="55E1363E" w14:textId="77777777" w:rsidR="00000000" w:rsidRDefault="00000000">
      <w:pPr>
        <w:widowControl/>
        <w:spacing w:line="600" w:lineRule="exact"/>
        <w:ind w:firstLineChars="200" w:firstLine="643"/>
        <w:rPr>
          <w:rFonts w:ascii="宋体" w:eastAsia="仿宋_GB2312" w:hAnsi="宋体" w:hint="eastAsia"/>
          <w:b/>
          <w:bCs/>
          <w:sz w:val="32"/>
          <w:szCs w:val="22"/>
        </w:rPr>
      </w:pPr>
      <w:r>
        <w:rPr>
          <w:rFonts w:ascii="宋体" w:eastAsia="仿宋_GB2312" w:hAnsi="宋体" w:hint="eastAsia"/>
          <w:b/>
          <w:bCs/>
          <w:sz w:val="32"/>
          <w:szCs w:val="22"/>
        </w:rPr>
        <w:t>（二）一般项目</w:t>
      </w:r>
    </w:p>
    <w:p w14:paraId="3BEAC0CA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1.病区护士与医疗护理员协同护理模式的构建与实践研究</w:t>
      </w:r>
    </w:p>
    <w:p w14:paraId="37F2DE2C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研究内容：深入分析病区内护士与医疗护理员的角色定位与协作现状；研究构建以护士为主导、医疗护理员为辅助的层级化职责分工方案与协同工作流程；通过试点实践，探索有效的沟通机制、联合培训模式与协同效果评价指标，以提升团队工作效率与患者安全。</w:t>
      </w:r>
    </w:p>
    <w:p w14:paraId="7B422130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2.面向职业能力的模块化项目课程与评价体系构建研究——以护理康复类专业为例</w:t>
      </w:r>
    </w:p>
    <w:p w14:paraId="33001B29" w14:textId="77777777" w:rsidR="00000000" w:rsidRDefault="00000000">
      <w:pPr>
        <w:widowControl/>
        <w:spacing w:line="600" w:lineRule="exact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研究内容：针对具备护理、康复等专业背景的学员，以提升其临床实践与职业胜任力为导向，重构其课程体系。研究开发以典型工作任务为核心的模块化、项目式课程，并建立与之匹配的、过程性与终结性相结合的综合能力评价标准，探索“医教协同”背景下高素质技术技能人才培养的新路径。</w:t>
      </w:r>
    </w:p>
    <w:p w14:paraId="261EBCF4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3.免陪照护服务模式下院内多部门协作流程设计与闭环管理机制研究</w:t>
      </w:r>
    </w:p>
    <w:p w14:paraId="044393F1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lastRenderedPageBreak/>
        <w:t>研究内容：聚焦于医院内部的免陪照护服务运作，以患者入院至出院的“照护服务旅程”为主线，对服务申请、评估、匹配、执行、交接与结算等全流程设计，构建一套高效、顺畅的院内多部门协同服务流程和信息化支撑的闭环管理模型。</w:t>
      </w:r>
    </w:p>
    <w:p w14:paraId="2F8F39FA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4.免陪照护服务质量评价指标体系与持续改进机制研究</w:t>
      </w:r>
    </w:p>
    <w:p w14:paraId="24AFF2DB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研究内容：聚焦于服务质量这一核心，通过科学方法构建一套涵盖结构、过程、结果三维度的，可量化的服务质量评价指标体系；研究建立整合患者实时反馈、科室定期评估、第三方暗访等多渠道的质量监测网络，并设计基于数据驱动的“评价</w:t>
      </w:r>
      <w:r>
        <w:rPr>
          <w:rFonts w:ascii="宋体" w:eastAsia="仿宋_GB2312" w:hAnsi="宋体" w:hint="eastAsia"/>
          <w:sz w:val="32"/>
          <w:szCs w:val="22"/>
        </w:rPr>
        <w:t>-</w:t>
      </w:r>
      <w:r>
        <w:rPr>
          <w:rFonts w:ascii="宋体" w:eastAsia="仿宋_GB2312" w:hAnsi="宋体" w:hint="eastAsia"/>
          <w:sz w:val="32"/>
          <w:szCs w:val="22"/>
        </w:rPr>
        <w:t>反馈</w:t>
      </w:r>
      <w:r>
        <w:rPr>
          <w:rFonts w:ascii="宋体" w:eastAsia="仿宋_GB2312" w:hAnsi="宋体" w:hint="eastAsia"/>
          <w:sz w:val="32"/>
          <w:szCs w:val="22"/>
        </w:rPr>
        <w:t>-</w:t>
      </w:r>
      <w:r>
        <w:rPr>
          <w:rFonts w:ascii="宋体" w:eastAsia="仿宋_GB2312" w:hAnsi="宋体" w:hint="eastAsia"/>
          <w:sz w:val="32"/>
          <w:szCs w:val="22"/>
        </w:rPr>
        <w:t>分析</w:t>
      </w:r>
      <w:r>
        <w:rPr>
          <w:rFonts w:ascii="宋体" w:eastAsia="仿宋_GB2312" w:hAnsi="宋体" w:hint="eastAsia"/>
          <w:sz w:val="32"/>
          <w:szCs w:val="22"/>
        </w:rPr>
        <w:t>-</w:t>
      </w:r>
      <w:r>
        <w:rPr>
          <w:rFonts w:ascii="宋体" w:eastAsia="仿宋_GB2312" w:hAnsi="宋体" w:hint="eastAsia"/>
          <w:sz w:val="32"/>
          <w:szCs w:val="22"/>
        </w:rPr>
        <w:t>干预”持续质量改进闭环，实现服务质量的螺旋式上升。</w:t>
      </w:r>
    </w:p>
    <w:p w14:paraId="0D047688" w14:textId="77777777" w:rsidR="00000000" w:rsidRDefault="00000000">
      <w:pPr>
        <w:widowControl/>
        <w:spacing w:line="600" w:lineRule="exact"/>
        <w:ind w:firstLineChars="200" w:firstLine="640"/>
        <w:rPr>
          <w:rFonts w:ascii="方正楷体_GB2312" w:eastAsia="方正楷体_GB2312" w:hAnsi="方正楷体_GB2312" w:cs="方正楷体_GB2312" w:hint="eastAsia"/>
          <w:sz w:val="32"/>
          <w:szCs w:val="22"/>
        </w:rPr>
      </w:pPr>
      <w:r>
        <w:rPr>
          <w:rFonts w:ascii="方正楷体_GB2312" w:eastAsia="方正楷体_GB2312" w:hAnsi="方正楷体_GB2312" w:cs="方正楷体_GB2312" w:hint="eastAsia"/>
          <w:sz w:val="32"/>
          <w:szCs w:val="22"/>
        </w:rPr>
        <w:t>5.医疗护理员应急核心能力强化与快速培训方案开发</w:t>
      </w:r>
    </w:p>
    <w:p w14:paraId="7F43F101" w14:textId="77777777" w:rsidR="00000000" w:rsidRDefault="00000000">
      <w:pPr>
        <w:widowControl/>
        <w:spacing w:line="600" w:lineRule="exact"/>
        <w:ind w:firstLineChars="200" w:firstLine="640"/>
        <w:rPr>
          <w:rFonts w:ascii="宋体" w:eastAsia="仿宋_GB2312" w:hAnsi="宋体" w:hint="eastAsia"/>
          <w:sz w:val="32"/>
          <w:szCs w:val="22"/>
        </w:rPr>
      </w:pPr>
      <w:r>
        <w:rPr>
          <w:rFonts w:ascii="宋体" w:eastAsia="仿宋_GB2312" w:hAnsi="宋体" w:hint="eastAsia"/>
          <w:sz w:val="32"/>
          <w:szCs w:val="22"/>
        </w:rPr>
        <w:t>研究内容：针对突发公共卫生事件等应急状态下的核心工作场景，研究制定医疗护理员应急能力模块化培训大纲，重点聚焦于个人高级防护、应急感染控制、特定疾病照护要点、心理危机干预及团队协作沟通等技能。开发与之配套的“快速启动培训包”与线上微课程，确保在应急响应启动后能迅速完成针对性技能强化培训。</w:t>
      </w:r>
    </w:p>
    <w:p w14:paraId="6C81BD01" w14:textId="77777777" w:rsidR="00C53D77" w:rsidRDefault="00C53D77">
      <w:pPr>
        <w:rPr>
          <w:rFonts w:ascii="仿宋_GB2312" w:eastAsia="仿宋_GB2312" w:hAnsi="仿宋_GB2312" w:cs="仿宋_GB2312" w:hint="eastAsia"/>
          <w:color w:val="404040"/>
          <w:sz w:val="32"/>
          <w:szCs w:val="32"/>
          <w:shd w:val="clear" w:color="auto" w:fill="FFFFFF"/>
        </w:rPr>
      </w:pPr>
    </w:p>
    <w:sectPr w:rsidR="00C53D77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B338" w14:textId="77777777" w:rsidR="00C53D77" w:rsidRDefault="00C53D77">
      <w:r>
        <w:separator/>
      </w:r>
    </w:p>
  </w:endnote>
  <w:endnote w:type="continuationSeparator" w:id="0">
    <w:p w14:paraId="04911E6F" w14:textId="77777777" w:rsidR="00C53D77" w:rsidRDefault="00C5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3B939FA-B59F-44BF-A4C4-90328CCDD0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976A06D-EE8F-41D3-A196-1B30C0732168}"/>
    <w:embedBold r:id="rId3" w:subsetted="1" w:fontKey="{FACDCED0-5CE0-4C2A-8100-90C89ADB3EC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E2A12F8-8F16-4296-A40C-3C278A1D0C11}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5" w:subsetted="1" w:fontKey="{437A939F-360C-4A7A-8725-E1525864DB1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3A3F7" w14:textId="77777777" w:rsidR="00000000" w:rsidRDefault="00000000">
    <w:pPr>
      <w:pStyle w:val="a3"/>
      <w:rPr>
        <w:rFonts w:ascii="宋体" w:hAnsi="宋体" w:cs="宋体" w:hint="eastAsia"/>
        <w:sz w:val="32"/>
        <w:szCs w:val="48"/>
      </w:rPr>
    </w:pPr>
    <w:r>
      <w:rPr>
        <w:rFonts w:ascii="宋体" w:hAnsi="宋体" w:cs="宋体" w:hint="eastAsia"/>
        <w:sz w:val="32"/>
        <w:szCs w:val="48"/>
      </w:rPr>
      <w:pict w14:anchorId="2FD57432"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31" type="#_x0000_t202" style="position:absolute;margin-left:92.8pt;margin-top:0;width:2in;height:2in;z-index:1;mso-wrap-style:none;mso-position-horizontal:outside;mso-position-horizontal-relative:margin" filled="f" stroked="f">
          <v:textbox style="mso-fit-shape-to-text:t" inset="0,0,0,0">
            <w:txbxContent>
              <w:p w14:paraId="2AD774E3" w14:textId="77777777" w:rsidR="00000000" w:rsidRDefault="00000000">
                <w:pPr>
                  <w:pStyle w:val="a3"/>
                  <w:rPr>
                    <w:rFonts w:ascii="宋体" w:hAnsi="宋体" w:cs="宋体" w:hint="eastAsia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>1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3FD6" w14:textId="77777777" w:rsidR="00C53D77" w:rsidRDefault="00C53D77">
      <w:r>
        <w:separator/>
      </w:r>
    </w:p>
  </w:footnote>
  <w:footnote w:type="continuationSeparator" w:id="0">
    <w:p w14:paraId="5978AF03" w14:textId="77777777" w:rsidR="00C53D77" w:rsidRDefault="00C5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13"/>
    <w:rsid w:val="008E1D13"/>
    <w:rsid w:val="00C53D77"/>
    <w:rsid w:val="024B4BD8"/>
    <w:rsid w:val="04D10F91"/>
    <w:rsid w:val="0DF72A6A"/>
    <w:rsid w:val="13CB33B3"/>
    <w:rsid w:val="18055724"/>
    <w:rsid w:val="1CAF1DCD"/>
    <w:rsid w:val="2019751E"/>
    <w:rsid w:val="21A06EBB"/>
    <w:rsid w:val="22252513"/>
    <w:rsid w:val="232721BA"/>
    <w:rsid w:val="24420C5B"/>
    <w:rsid w:val="270D3C72"/>
    <w:rsid w:val="275F092B"/>
    <w:rsid w:val="28A20AED"/>
    <w:rsid w:val="34853536"/>
    <w:rsid w:val="3AB41661"/>
    <w:rsid w:val="455A11CE"/>
    <w:rsid w:val="4968242F"/>
    <w:rsid w:val="4A7E4841"/>
    <w:rsid w:val="4A84208D"/>
    <w:rsid w:val="4D701F31"/>
    <w:rsid w:val="500C75FB"/>
    <w:rsid w:val="513B5BAE"/>
    <w:rsid w:val="5BBE370F"/>
    <w:rsid w:val="5E223261"/>
    <w:rsid w:val="5E2F756B"/>
    <w:rsid w:val="5E617B0C"/>
    <w:rsid w:val="60EE4F53"/>
    <w:rsid w:val="61207E31"/>
    <w:rsid w:val="621B7EE5"/>
    <w:rsid w:val="67AE45E7"/>
    <w:rsid w:val="68970463"/>
    <w:rsid w:val="6E191CAC"/>
    <w:rsid w:val="70EB0AF2"/>
    <w:rsid w:val="753763DC"/>
    <w:rsid w:val="779F53D0"/>
    <w:rsid w:val="7B5B64C4"/>
    <w:rsid w:val="7CBB5380"/>
    <w:rsid w:val="7DF13391"/>
    <w:rsid w:val="7EFD1533"/>
    <w:rsid w:val="B5FF9E35"/>
    <w:rsid w:val="FBD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50675"/>
  <w15:chartTrackingRefBased/>
  <w15:docId w15:val="{589D4548-FCBF-4813-B7ED-56857734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关于组织申报医疗护理员培训管理和</dc:title>
  <dc:subject/>
  <dc:creator>wsrc</dc:creator>
  <cp:keywords/>
  <cp:lastModifiedBy>孟才 许</cp:lastModifiedBy>
  <cp:revision>2</cp:revision>
  <cp:lastPrinted>2025-11-03T01:49:00Z</cp:lastPrinted>
  <dcterms:created xsi:type="dcterms:W3CDTF">2025-11-03T04:16:00Z</dcterms:created>
  <dcterms:modified xsi:type="dcterms:W3CDTF">2025-11-03T04:16:00Z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eyJoZGlkIjoiYTgxY2VlMzkyMmNhMzA4ODZlNjNiN2NkNjdlNGQyNGMiLCJ1c2VySWQiOiIyNjY0MTMzNzUifQ==</vt:lpwstr>
  </property>
  <property fmtid="{D5CDD505-2E9C-101B-9397-08002B2CF9AE}" pid="4" name="ICV">
    <vt:lpwstr>9D73D3E94A7E4C0B9BC880FEB59611EA_13</vt:lpwstr>
  </property>
</Properties>
</file>