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9B171" w14:textId="77777777" w:rsidR="00E56B83" w:rsidRDefault="00E56B83">
      <w:pPr>
        <w:widowControl/>
        <w:spacing w:line="432" w:lineRule="auto"/>
        <w:rPr>
          <w:rFonts w:ascii="黑体" w:eastAsia="黑体" w:hAnsi="黑体" w:cs="宋体"/>
          <w:color w:val="333333"/>
          <w:kern w:val="36"/>
          <w:sz w:val="30"/>
          <w:szCs w:val="30"/>
        </w:rPr>
      </w:pPr>
    </w:p>
    <w:p w14:paraId="6488E58F" w14:textId="77777777" w:rsidR="00E56B83" w:rsidRDefault="003365D7">
      <w:pPr>
        <w:widowControl/>
        <w:spacing w:line="432" w:lineRule="auto"/>
        <w:jc w:val="center"/>
        <w:rPr>
          <w:rFonts w:ascii="方正小标宋_GBK" w:eastAsia="方正小标宋_GBK" w:hAnsi="黑体" w:cs="宋体"/>
          <w:color w:val="333333"/>
          <w:kern w:val="36"/>
          <w:sz w:val="36"/>
          <w:szCs w:val="36"/>
        </w:rPr>
      </w:pPr>
      <w:r>
        <w:rPr>
          <w:rFonts w:ascii="方正小标宋_GBK" w:eastAsia="方正小标宋_GBK" w:hAnsi="黑体" w:cs="宋体" w:hint="eastAsia"/>
          <w:color w:val="333333"/>
          <w:kern w:val="36"/>
          <w:sz w:val="36"/>
          <w:szCs w:val="36"/>
        </w:rPr>
        <w:t>关于发布《湖北省食品安全地方标准  富有机硒食品硒含量要求》食品安全地方标准的公告</w:t>
      </w:r>
    </w:p>
    <w:p w14:paraId="72DB90EA" w14:textId="77777777" w:rsidR="00E56B83" w:rsidRDefault="00E56B83">
      <w:pPr>
        <w:widowControl/>
        <w:spacing w:line="432" w:lineRule="auto"/>
        <w:jc w:val="left"/>
        <w:rPr>
          <w:rFonts w:ascii="黑体" w:eastAsia="黑体" w:hAnsi="黑体" w:cs="宋体"/>
          <w:color w:val="333333"/>
          <w:kern w:val="36"/>
          <w:sz w:val="30"/>
          <w:szCs w:val="30"/>
        </w:rPr>
      </w:pPr>
    </w:p>
    <w:p w14:paraId="43366179" w14:textId="18464A68" w:rsidR="00CC3143" w:rsidRDefault="003365D7" w:rsidP="00CC3143">
      <w:pPr>
        <w:widowControl/>
        <w:spacing w:line="432" w:lineRule="auto"/>
        <w:ind w:firstLineChars="200" w:firstLine="600"/>
        <w:jc w:val="left"/>
        <w:rPr>
          <w:rFonts w:ascii="仿宋" w:eastAsia="仿宋" w:hAnsi="仿宋" w:cs="宋体"/>
          <w:color w:val="333333"/>
          <w:kern w:val="0"/>
          <w:sz w:val="30"/>
          <w:szCs w:val="30"/>
        </w:rPr>
      </w:pPr>
      <w:r>
        <w:rPr>
          <w:rFonts w:ascii="仿宋" w:eastAsia="仿宋" w:hAnsi="仿宋" w:cs="宋体"/>
          <w:color w:val="333333"/>
          <w:kern w:val="0"/>
          <w:sz w:val="30"/>
          <w:szCs w:val="30"/>
        </w:rPr>
        <w:t>根据《中华人民共和国</w:t>
      </w:r>
      <w:r w:rsidR="009F0055">
        <w:fldChar w:fldCharType="begin"/>
      </w:r>
      <w:r w:rsidR="009F0055">
        <w:instrText xml:space="preserve"> HYPERLINK "http://news.foodmate.net/tag_1649.html" \t "_blank" \o "</w:instrText>
      </w:r>
      <w:r w:rsidR="009F0055">
        <w:instrText>食品安全法相关食品资讯</w:instrText>
      </w:r>
      <w:r w:rsidR="009F0055">
        <w:instrText xml:space="preserve">" </w:instrText>
      </w:r>
      <w:r w:rsidR="009F0055">
        <w:fldChar w:fldCharType="separate"/>
      </w:r>
      <w:r>
        <w:rPr>
          <w:rFonts w:ascii="仿宋" w:eastAsia="仿宋" w:hAnsi="仿宋" w:cs="宋体"/>
          <w:color w:val="333333"/>
          <w:kern w:val="0"/>
          <w:sz w:val="30"/>
          <w:szCs w:val="30"/>
        </w:rPr>
        <w:t>食品安全法</w:t>
      </w:r>
      <w:r w:rsidR="009F0055">
        <w:rPr>
          <w:rFonts w:ascii="仿宋" w:eastAsia="仿宋" w:hAnsi="仿宋" w:cs="宋体"/>
          <w:color w:val="333333"/>
          <w:kern w:val="0"/>
          <w:sz w:val="30"/>
          <w:szCs w:val="30"/>
        </w:rPr>
        <w:fldChar w:fldCharType="end"/>
      </w:r>
      <w:r>
        <w:rPr>
          <w:rFonts w:ascii="仿宋" w:eastAsia="仿宋" w:hAnsi="仿宋" w:cs="宋体"/>
          <w:color w:val="333333"/>
          <w:kern w:val="0"/>
          <w:sz w:val="30"/>
          <w:szCs w:val="30"/>
        </w:rPr>
        <w:t>》《湖北省</w:t>
      </w:r>
      <w:hyperlink r:id="rId8" w:tgtFrame="_blank" w:tooltip="食品安全相关食品资讯" w:history="1">
        <w:r>
          <w:rPr>
            <w:rFonts w:ascii="仿宋" w:eastAsia="仿宋" w:hAnsi="仿宋" w:cs="宋体"/>
            <w:color w:val="333333"/>
            <w:kern w:val="0"/>
            <w:sz w:val="30"/>
            <w:szCs w:val="30"/>
          </w:rPr>
          <w:t>食品安全</w:t>
        </w:r>
      </w:hyperlink>
      <w:r>
        <w:rPr>
          <w:rFonts w:ascii="仿宋" w:eastAsia="仿宋" w:hAnsi="仿宋" w:cs="宋体"/>
          <w:color w:val="333333"/>
          <w:kern w:val="0"/>
          <w:sz w:val="30"/>
          <w:szCs w:val="30"/>
        </w:rPr>
        <w:t>地方</w:t>
      </w:r>
      <w:hyperlink r:id="rId9" w:tgtFrame="_blank" w:tooltip="标准相关食品资讯" w:history="1">
        <w:r>
          <w:rPr>
            <w:rFonts w:ascii="仿宋" w:eastAsia="仿宋" w:hAnsi="仿宋" w:cs="宋体"/>
            <w:color w:val="333333"/>
            <w:kern w:val="0"/>
            <w:sz w:val="30"/>
            <w:szCs w:val="30"/>
          </w:rPr>
          <w:t>标准</w:t>
        </w:r>
      </w:hyperlink>
      <w:r>
        <w:rPr>
          <w:rFonts w:ascii="仿宋" w:eastAsia="仿宋" w:hAnsi="仿宋" w:cs="宋体"/>
          <w:color w:val="333333"/>
          <w:kern w:val="0"/>
          <w:sz w:val="30"/>
          <w:szCs w:val="30"/>
        </w:rPr>
        <w:t>制定工作规范》的规定，经湖北省</w:t>
      </w:r>
      <w:hyperlink r:id="rId10" w:tgtFrame="_blank" w:tooltip="食品安全标准相关食品资讯" w:history="1">
        <w:r>
          <w:rPr>
            <w:rFonts w:ascii="仿宋" w:eastAsia="仿宋" w:hAnsi="仿宋" w:cs="宋体"/>
            <w:color w:val="333333"/>
            <w:kern w:val="0"/>
            <w:sz w:val="30"/>
            <w:szCs w:val="30"/>
          </w:rPr>
          <w:t>食品安全标准</w:t>
        </w:r>
      </w:hyperlink>
      <w:r>
        <w:rPr>
          <w:rFonts w:ascii="仿宋" w:eastAsia="仿宋" w:hAnsi="仿宋" w:cs="宋体"/>
          <w:color w:val="333333"/>
          <w:kern w:val="0"/>
          <w:sz w:val="30"/>
          <w:szCs w:val="30"/>
        </w:rPr>
        <w:t>审评委员会审查通过，现发布</w:t>
      </w:r>
      <w:r>
        <w:rPr>
          <w:rFonts w:ascii="仿宋" w:eastAsia="仿宋" w:hAnsi="仿宋" w:cs="宋体" w:hint="eastAsia"/>
          <w:color w:val="333333"/>
          <w:kern w:val="0"/>
          <w:sz w:val="30"/>
          <w:szCs w:val="30"/>
        </w:rPr>
        <w:t>《湖北省</w:t>
      </w:r>
      <w:hyperlink r:id="rId11" w:tgtFrame="_blank" w:tooltip="食品安全相关食品资讯" w:history="1">
        <w:r>
          <w:rPr>
            <w:rFonts w:ascii="仿宋" w:eastAsia="仿宋" w:hAnsi="仿宋" w:cs="宋体" w:hint="eastAsia"/>
            <w:color w:val="333333"/>
            <w:kern w:val="0"/>
            <w:sz w:val="30"/>
            <w:szCs w:val="30"/>
          </w:rPr>
          <w:t>食品安全</w:t>
        </w:r>
      </w:hyperlink>
      <w:r>
        <w:rPr>
          <w:rFonts w:ascii="仿宋" w:eastAsia="仿宋" w:hAnsi="仿宋" w:cs="宋体" w:hint="eastAsia"/>
          <w:color w:val="333333"/>
          <w:kern w:val="0"/>
          <w:sz w:val="30"/>
          <w:szCs w:val="30"/>
        </w:rPr>
        <w:t>地方</w:t>
      </w:r>
      <w:hyperlink r:id="rId12" w:tgtFrame="_blank" w:tooltip="标准相关食品资讯" w:history="1">
        <w:r>
          <w:rPr>
            <w:rFonts w:ascii="仿宋" w:eastAsia="仿宋" w:hAnsi="仿宋" w:cs="宋体" w:hint="eastAsia"/>
            <w:color w:val="333333"/>
            <w:kern w:val="0"/>
            <w:sz w:val="30"/>
            <w:szCs w:val="30"/>
          </w:rPr>
          <w:t>标准</w:t>
        </w:r>
      </w:hyperlink>
      <w:r>
        <w:rPr>
          <w:rFonts w:ascii="仿宋" w:eastAsia="仿宋" w:hAnsi="仿宋" w:cs="宋体" w:hint="eastAsia"/>
          <w:color w:val="333333"/>
          <w:kern w:val="0"/>
          <w:sz w:val="30"/>
          <w:szCs w:val="30"/>
        </w:rPr>
        <w:t xml:space="preserve"> 富有机硒食品硒含量要求》（DBS42/ 002-2021）食品安全地方标准</w:t>
      </w:r>
      <w:r>
        <w:rPr>
          <w:rFonts w:ascii="仿宋" w:eastAsia="仿宋" w:hAnsi="仿宋" w:cs="宋体"/>
          <w:color w:val="333333"/>
          <w:kern w:val="0"/>
          <w:sz w:val="30"/>
          <w:szCs w:val="30"/>
        </w:rPr>
        <w:t>。</w:t>
      </w:r>
    </w:p>
    <w:p w14:paraId="519AB645" w14:textId="4593692B" w:rsidR="00E56B83" w:rsidRDefault="003365D7" w:rsidP="00CC3143">
      <w:pPr>
        <w:widowControl/>
        <w:spacing w:line="432" w:lineRule="auto"/>
        <w:ind w:firstLineChars="200" w:firstLine="600"/>
        <w:jc w:val="left"/>
        <w:rPr>
          <w:rFonts w:ascii="仿宋" w:eastAsia="仿宋" w:hAnsi="仿宋" w:cs="宋体"/>
          <w:color w:val="333333"/>
          <w:kern w:val="0"/>
          <w:sz w:val="30"/>
          <w:szCs w:val="30"/>
        </w:rPr>
      </w:pPr>
      <w:r>
        <w:rPr>
          <w:rFonts w:ascii="仿宋" w:eastAsia="仿宋" w:hAnsi="仿宋" w:cs="宋体"/>
          <w:color w:val="333333"/>
          <w:kern w:val="0"/>
          <w:sz w:val="30"/>
          <w:szCs w:val="30"/>
        </w:rPr>
        <w:t>特此公告。</w:t>
      </w:r>
    </w:p>
    <w:p w14:paraId="374F48E9" w14:textId="77777777" w:rsidR="00E56B83" w:rsidRDefault="00E56B83">
      <w:pPr>
        <w:widowControl/>
        <w:spacing w:line="432" w:lineRule="auto"/>
        <w:ind w:left="1350" w:hangingChars="450" w:hanging="1350"/>
        <w:jc w:val="left"/>
        <w:rPr>
          <w:rFonts w:ascii="仿宋" w:eastAsia="仿宋" w:hAnsi="仿宋" w:cs="宋体"/>
          <w:color w:val="333333"/>
          <w:kern w:val="0"/>
          <w:sz w:val="30"/>
          <w:szCs w:val="30"/>
        </w:rPr>
      </w:pPr>
    </w:p>
    <w:p w14:paraId="77ACF64C" w14:textId="77777777" w:rsidR="00E56B83" w:rsidRDefault="00E56B83">
      <w:pPr>
        <w:widowControl/>
        <w:spacing w:line="432" w:lineRule="auto"/>
        <w:ind w:left="1350" w:hangingChars="450" w:hanging="1350"/>
        <w:jc w:val="left"/>
        <w:rPr>
          <w:rFonts w:ascii="仿宋" w:eastAsia="仿宋" w:hAnsi="仿宋" w:cs="宋体"/>
          <w:color w:val="333333"/>
          <w:kern w:val="0"/>
          <w:sz w:val="30"/>
          <w:szCs w:val="30"/>
        </w:rPr>
      </w:pPr>
    </w:p>
    <w:p w14:paraId="4171B1C7" w14:textId="77777777" w:rsidR="00E56B83" w:rsidRDefault="003365D7" w:rsidP="00A73187">
      <w:pPr>
        <w:widowControl/>
        <w:spacing w:line="432" w:lineRule="auto"/>
        <w:ind w:right="420" w:firstLineChars="1600" w:firstLine="4800"/>
        <w:rPr>
          <w:rFonts w:ascii="仿宋" w:eastAsia="仿宋" w:hAnsi="仿宋" w:cs="宋体"/>
          <w:color w:val="333333"/>
          <w:kern w:val="0"/>
          <w:sz w:val="30"/>
          <w:szCs w:val="30"/>
        </w:rPr>
      </w:pPr>
      <w:r>
        <w:rPr>
          <w:rFonts w:ascii="仿宋" w:eastAsia="仿宋" w:hAnsi="仿宋" w:cs="宋体"/>
          <w:color w:val="333333"/>
          <w:kern w:val="0"/>
          <w:sz w:val="30"/>
          <w:szCs w:val="30"/>
        </w:rPr>
        <w:t>湖北省卫生健康委员会</w:t>
      </w:r>
    </w:p>
    <w:p w14:paraId="41BDF5FC" w14:textId="77777777" w:rsidR="00E56B83" w:rsidRDefault="003365D7">
      <w:pPr>
        <w:widowControl/>
        <w:spacing w:line="432" w:lineRule="auto"/>
        <w:ind w:right="1335"/>
        <w:jc w:val="center"/>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color w:val="333333"/>
          <w:kern w:val="0"/>
          <w:sz w:val="30"/>
          <w:szCs w:val="30"/>
        </w:rPr>
        <w:t>20</w:t>
      </w:r>
      <w:r>
        <w:rPr>
          <w:rFonts w:ascii="仿宋" w:eastAsia="仿宋" w:hAnsi="仿宋" w:cs="宋体" w:hint="eastAsia"/>
          <w:color w:val="333333"/>
          <w:kern w:val="0"/>
          <w:sz w:val="30"/>
          <w:szCs w:val="30"/>
        </w:rPr>
        <w:t>21</w:t>
      </w:r>
      <w:r>
        <w:rPr>
          <w:rFonts w:ascii="仿宋" w:eastAsia="仿宋" w:hAnsi="仿宋" w:cs="宋体"/>
          <w:color w:val="333333"/>
          <w:kern w:val="0"/>
          <w:sz w:val="30"/>
          <w:szCs w:val="30"/>
        </w:rPr>
        <w:t>年</w:t>
      </w:r>
      <w:r>
        <w:rPr>
          <w:rFonts w:ascii="仿宋" w:eastAsia="仿宋" w:hAnsi="仿宋" w:cs="宋体" w:hint="eastAsia"/>
          <w:color w:val="333333"/>
          <w:kern w:val="0"/>
          <w:sz w:val="30"/>
          <w:szCs w:val="30"/>
        </w:rPr>
        <w:t>3</w:t>
      </w:r>
      <w:r>
        <w:rPr>
          <w:rFonts w:ascii="仿宋" w:eastAsia="仿宋" w:hAnsi="仿宋" w:cs="宋体"/>
          <w:color w:val="333333"/>
          <w:kern w:val="0"/>
          <w:sz w:val="30"/>
          <w:szCs w:val="30"/>
        </w:rPr>
        <w:t>月</w:t>
      </w:r>
      <w:r>
        <w:rPr>
          <w:rFonts w:ascii="仿宋" w:eastAsia="仿宋" w:hAnsi="仿宋" w:cs="宋体" w:hint="eastAsia"/>
          <w:color w:val="333333"/>
          <w:kern w:val="0"/>
          <w:sz w:val="30"/>
          <w:szCs w:val="30"/>
        </w:rPr>
        <w:t>2</w:t>
      </w:r>
      <w:r>
        <w:rPr>
          <w:rFonts w:ascii="仿宋" w:eastAsia="仿宋" w:hAnsi="仿宋" w:cs="宋体"/>
          <w:color w:val="333333"/>
          <w:kern w:val="0"/>
          <w:sz w:val="30"/>
          <w:szCs w:val="30"/>
        </w:rPr>
        <w:t>日</w:t>
      </w:r>
    </w:p>
    <w:p w14:paraId="2F92A475" w14:textId="77777777" w:rsidR="003365D7" w:rsidRDefault="003365D7">
      <w:pPr>
        <w:widowControl/>
        <w:spacing w:line="432" w:lineRule="auto"/>
        <w:ind w:right="1335"/>
        <w:jc w:val="center"/>
        <w:rPr>
          <w:rFonts w:ascii="仿宋" w:eastAsia="仿宋" w:hAnsi="仿宋" w:cs="宋体"/>
          <w:color w:val="333333"/>
          <w:kern w:val="0"/>
          <w:sz w:val="30"/>
          <w:szCs w:val="30"/>
        </w:rPr>
      </w:pPr>
    </w:p>
    <w:p w14:paraId="27BBE32A" w14:textId="77777777" w:rsidR="003365D7" w:rsidRDefault="003365D7">
      <w:pPr>
        <w:widowControl/>
        <w:spacing w:line="432" w:lineRule="auto"/>
        <w:ind w:right="1335"/>
        <w:jc w:val="center"/>
        <w:rPr>
          <w:rFonts w:ascii="仿宋" w:eastAsia="仿宋" w:hAnsi="仿宋" w:cs="宋体"/>
          <w:color w:val="333333"/>
          <w:kern w:val="0"/>
          <w:sz w:val="30"/>
          <w:szCs w:val="30"/>
        </w:rPr>
      </w:pPr>
    </w:p>
    <w:p w14:paraId="6E0680BF" w14:textId="77777777" w:rsidR="003365D7" w:rsidRDefault="003365D7">
      <w:pPr>
        <w:widowControl/>
        <w:spacing w:line="432" w:lineRule="auto"/>
        <w:ind w:right="1335"/>
        <w:jc w:val="center"/>
        <w:rPr>
          <w:rFonts w:ascii="仿宋" w:eastAsia="仿宋" w:hAnsi="仿宋" w:cs="宋体"/>
          <w:color w:val="333333"/>
          <w:kern w:val="0"/>
          <w:sz w:val="30"/>
          <w:szCs w:val="30"/>
        </w:rPr>
      </w:pPr>
    </w:p>
    <w:p w14:paraId="0A860BF6" w14:textId="77777777" w:rsidR="003365D7" w:rsidRDefault="003365D7">
      <w:pPr>
        <w:widowControl/>
        <w:spacing w:line="432" w:lineRule="auto"/>
        <w:ind w:right="1335"/>
        <w:jc w:val="center"/>
        <w:rPr>
          <w:rFonts w:ascii="仿宋" w:eastAsia="仿宋" w:hAnsi="仿宋" w:cs="宋体"/>
          <w:color w:val="333333"/>
          <w:kern w:val="0"/>
          <w:sz w:val="30"/>
          <w:szCs w:val="30"/>
        </w:rPr>
      </w:pPr>
    </w:p>
    <w:p w14:paraId="5385977C" w14:textId="77777777" w:rsidR="003365D7" w:rsidRDefault="003365D7" w:rsidP="003365D7">
      <w:pPr>
        <w:widowControl/>
        <w:spacing w:line="432" w:lineRule="auto"/>
        <w:ind w:right="1335"/>
        <w:rPr>
          <w:rFonts w:ascii="仿宋" w:eastAsia="仿宋" w:hAnsi="仿宋" w:cs="宋体"/>
          <w:color w:val="333333"/>
          <w:kern w:val="0"/>
          <w:sz w:val="30"/>
          <w:szCs w:val="30"/>
        </w:rPr>
      </w:pPr>
    </w:p>
    <w:p w14:paraId="471155F3" w14:textId="77777777" w:rsidR="003365D7" w:rsidRPr="003365D7" w:rsidRDefault="003365D7" w:rsidP="003365D7">
      <w:pPr>
        <w:adjustRightInd w:val="0"/>
        <w:snapToGrid w:val="0"/>
        <w:spacing w:line="288" w:lineRule="auto"/>
        <w:rPr>
          <w:rFonts w:ascii="宋体" w:eastAsia="仿宋_GB2312" w:hAnsi="宋体" w:cs="Times New Roman"/>
          <w:snapToGrid w:val="0"/>
          <w:kern w:val="0"/>
          <w:sz w:val="32"/>
          <w:szCs w:val="32"/>
        </w:rPr>
      </w:pPr>
    </w:p>
    <w:p w14:paraId="7F1B2650" w14:textId="77777777" w:rsidR="003365D7" w:rsidRPr="003365D7" w:rsidRDefault="003365D7" w:rsidP="003365D7">
      <w:pPr>
        <w:widowControl/>
        <w:autoSpaceDE w:val="0"/>
        <w:autoSpaceDN w:val="0"/>
        <w:jc w:val="right"/>
        <w:rPr>
          <w:rFonts w:ascii="宋体" w:eastAsia="方正小标宋_GBK" w:hAnsi="宋体" w:cs="Times New Roman"/>
          <w:kern w:val="0"/>
          <w:sz w:val="84"/>
          <w:szCs w:val="84"/>
        </w:rPr>
      </w:pPr>
      <w:r w:rsidRPr="003365D7">
        <w:rPr>
          <w:rFonts w:ascii="Times new roma" w:eastAsia="方正小标宋_GBK" w:hAnsi="Times new roma" w:cs="Times New Roman" w:hint="eastAsia"/>
          <w:kern w:val="0"/>
          <w:sz w:val="84"/>
          <w:szCs w:val="84"/>
        </w:rPr>
        <w:lastRenderedPageBreak/>
        <w:t>DBS</w:t>
      </w:r>
      <w:r w:rsidRPr="003365D7">
        <w:rPr>
          <w:rFonts w:ascii="宋体" w:eastAsia="方正小标宋_GBK" w:hAnsi="宋体" w:cs="Times New Roman" w:hint="eastAsia"/>
          <w:kern w:val="0"/>
          <w:sz w:val="84"/>
          <w:szCs w:val="84"/>
        </w:rPr>
        <w:t>42</w:t>
      </w:r>
    </w:p>
    <w:p w14:paraId="4F99BF80"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585475D4" w14:textId="77777777" w:rsidR="003365D7" w:rsidRPr="003365D7" w:rsidRDefault="003365D7" w:rsidP="003365D7">
      <w:pPr>
        <w:widowControl/>
        <w:autoSpaceDE w:val="0"/>
        <w:autoSpaceDN w:val="0"/>
        <w:jc w:val="distribute"/>
        <w:rPr>
          <w:rFonts w:ascii="宋体" w:eastAsia="黑体" w:hAnsi="宋体" w:cs="Times New Roman"/>
          <w:kern w:val="0"/>
          <w:sz w:val="52"/>
          <w:szCs w:val="52"/>
        </w:rPr>
      </w:pPr>
      <w:r w:rsidRPr="003365D7">
        <w:rPr>
          <w:rFonts w:ascii="宋体" w:eastAsia="黑体" w:hAnsi="宋体" w:cs="Times New Roman" w:hint="eastAsia"/>
          <w:kern w:val="0"/>
          <w:sz w:val="52"/>
          <w:szCs w:val="52"/>
        </w:rPr>
        <w:t>湖北省食品安全地方标准</w:t>
      </w:r>
    </w:p>
    <w:p w14:paraId="3B39282C"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1AC6F7E1" w14:textId="77777777" w:rsidR="003365D7" w:rsidRPr="003365D7" w:rsidRDefault="003365D7" w:rsidP="003365D7">
      <w:pPr>
        <w:widowControl/>
        <w:autoSpaceDE w:val="0"/>
        <w:autoSpaceDN w:val="0"/>
        <w:jc w:val="right"/>
        <w:rPr>
          <w:rFonts w:ascii="宋体" w:eastAsia="宋体" w:hAnsi="宋体" w:cs="Times New Roman"/>
          <w:kern w:val="0"/>
          <w:sz w:val="32"/>
          <w:szCs w:val="32"/>
        </w:rPr>
      </w:pPr>
      <w:r w:rsidRPr="003365D7">
        <w:rPr>
          <w:rFonts w:ascii="Times new roma" w:eastAsia="宋体" w:hAnsi="Times new roma" w:cs="Times New Roman"/>
          <w:kern w:val="0"/>
          <w:sz w:val="32"/>
          <w:szCs w:val="32"/>
        </w:rPr>
        <w:t>DBS</w:t>
      </w:r>
      <w:r w:rsidRPr="003365D7">
        <w:rPr>
          <w:rFonts w:ascii="宋体" w:eastAsia="宋体" w:hAnsi="宋体" w:cs="Times New Roman" w:hint="eastAsia"/>
          <w:kern w:val="0"/>
          <w:sz w:val="32"/>
          <w:szCs w:val="32"/>
        </w:rPr>
        <w:t>42/002-2021</w:t>
      </w:r>
    </w:p>
    <w:p w14:paraId="5E2028AF"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12C5B963"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4665CF73"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4AD4495E"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4D0F65C7"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62C059D5" w14:textId="77777777" w:rsidR="003365D7" w:rsidRPr="003365D7" w:rsidRDefault="00263A7A" w:rsidP="003365D7">
      <w:pPr>
        <w:widowControl/>
        <w:autoSpaceDE w:val="0"/>
        <w:autoSpaceDN w:val="0"/>
        <w:jc w:val="center"/>
        <w:rPr>
          <w:rFonts w:ascii="宋体" w:eastAsia="方正小标宋_GBK" w:hAnsi="宋体" w:cs="Times New Roman"/>
          <w:snapToGrid w:val="0"/>
          <w:spacing w:val="20"/>
          <w:w w:val="90"/>
          <w:kern w:val="0"/>
          <w:sz w:val="52"/>
          <w:szCs w:val="52"/>
        </w:rPr>
      </w:pPr>
      <w:proofErr w:type="gramStart"/>
      <w:r>
        <w:rPr>
          <w:rFonts w:ascii="宋体" w:eastAsia="方正小标宋_GBK" w:hAnsi="宋体" w:cs="Times New Roman" w:hint="eastAsia"/>
          <w:snapToGrid w:val="0"/>
          <w:spacing w:val="20"/>
          <w:w w:val="90"/>
          <w:kern w:val="0"/>
          <w:sz w:val="52"/>
          <w:szCs w:val="52"/>
        </w:rPr>
        <w:t>富有机硒</w:t>
      </w:r>
      <w:r w:rsidR="003365D7" w:rsidRPr="003365D7">
        <w:rPr>
          <w:rFonts w:ascii="宋体" w:eastAsia="方正小标宋_GBK" w:hAnsi="宋体" w:cs="Times New Roman" w:hint="eastAsia"/>
          <w:snapToGrid w:val="0"/>
          <w:spacing w:val="20"/>
          <w:w w:val="90"/>
          <w:kern w:val="0"/>
          <w:sz w:val="52"/>
          <w:szCs w:val="52"/>
        </w:rPr>
        <w:t>食品硒</w:t>
      </w:r>
      <w:proofErr w:type="gramEnd"/>
      <w:r w:rsidR="003365D7" w:rsidRPr="003365D7">
        <w:rPr>
          <w:rFonts w:ascii="宋体" w:eastAsia="方正小标宋_GBK" w:hAnsi="宋体" w:cs="Times New Roman" w:hint="eastAsia"/>
          <w:snapToGrid w:val="0"/>
          <w:spacing w:val="20"/>
          <w:w w:val="90"/>
          <w:kern w:val="0"/>
          <w:sz w:val="52"/>
          <w:szCs w:val="52"/>
        </w:rPr>
        <w:t>含量要求</w:t>
      </w:r>
    </w:p>
    <w:p w14:paraId="084338B8"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15E39362"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5699D457"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66740138"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0B5FA59A"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6F60B9C4"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6CC39693"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267487B4"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5F86D96F"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53505762"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4C351F32"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2CFA9DC7"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2583A241"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45F44B9D"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4805A21F"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1B29622B" w14:textId="77777777" w:rsidR="003365D7" w:rsidRPr="003365D7" w:rsidRDefault="003365D7" w:rsidP="003365D7">
      <w:pPr>
        <w:widowControl/>
        <w:autoSpaceDE w:val="0"/>
        <w:autoSpaceDN w:val="0"/>
        <w:rPr>
          <w:rFonts w:ascii="宋体" w:eastAsia="黑体" w:hAnsi="宋体" w:cs="Times New Roman"/>
          <w:snapToGrid w:val="0"/>
          <w:spacing w:val="20"/>
          <w:kern w:val="0"/>
          <w:sz w:val="32"/>
          <w:szCs w:val="32"/>
          <w:u w:val="single"/>
        </w:rPr>
      </w:pPr>
      <w:r w:rsidRPr="003365D7">
        <w:rPr>
          <w:rFonts w:ascii="宋体" w:eastAsia="黑体" w:hAnsi="宋体" w:cs="Times New Roman" w:hint="eastAsia"/>
          <w:snapToGrid w:val="0"/>
          <w:spacing w:val="20"/>
          <w:kern w:val="0"/>
          <w:sz w:val="32"/>
          <w:szCs w:val="32"/>
          <w:u w:val="single"/>
        </w:rPr>
        <w:t>2021-03-02</w:t>
      </w:r>
      <w:r w:rsidRPr="003365D7">
        <w:rPr>
          <w:rFonts w:ascii="宋体" w:eastAsia="黑体" w:hAnsi="宋体" w:cs="Times New Roman" w:hint="eastAsia"/>
          <w:snapToGrid w:val="0"/>
          <w:spacing w:val="20"/>
          <w:kern w:val="0"/>
          <w:sz w:val="32"/>
          <w:szCs w:val="32"/>
          <w:u w:val="single"/>
        </w:rPr>
        <w:t>发布</w:t>
      </w:r>
      <w:r w:rsidRPr="003365D7">
        <w:rPr>
          <w:rFonts w:ascii="宋体" w:eastAsia="黑体" w:hAnsi="宋体" w:cs="Times New Roman" w:hint="eastAsia"/>
          <w:snapToGrid w:val="0"/>
          <w:spacing w:val="20"/>
          <w:kern w:val="0"/>
          <w:sz w:val="32"/>
          <w:szCs w:val="32"/>
          <w:u w:val="single"/>
        </w:rPr>
        <w:t xml:space="preserve">                      2021-09-01</w:t>
      </w:r>
      <w:r w:rsidRPr="003365D7">
        <w:rPr>
          <w:rFonts w:ascii="宋体" w:eastAsia="黑体" w:hAnsi="宋体" w:cs="Times New Roman" w:hint="eastAsia"/>
          <w:snapToGrid w:val="0"/>
          <w:spacing w:val="20"/>
          <w:kern w:val="0"/>
          <w:sz w:val="32"/>
          <w:szCs w:val="32"/>
          <w:u w:val="single"/>
        </w:rPr>
        <w:t>实施</w:t>
      </w:r>
    </w:p>
    <w:p w14:paraId="1DA7DC79" w14:textId="77777777" w:rsidR="003365D7" w:rsidRPr="003365D7" w:rsidRDefault="003365D7" w:rsidP="003365D7">
      <w:pPr>
        <w:widowControl/>
        <w:autoSpaceDE w:val="0"/>
        <w:autoSpaceDN w:val="0"/>
        <w:rPr>
          <w:rFonts w:ascii="宋体" w:eastAsia="宋体" w:hAnsi="宋体" w:cs="Times New Roman"/>
          <w:kern w:val="0"/>
          <w:sz w:val="32"/>
          <w:szCs w:val="32"/>
        </w:rPr>
      </w:pPr>
    </w:p>
    <w:p w14:paraId="4BC1C10F" w14:textId="77777777" w:rsidR="003365D7" w:rsidRPr="003365D7" w:rsidRDefault="003365D7" w:rsidP="003365D7">
      <w:pPr>
        <w:widowControl/>
        <w:jc w:val="left"/>
        <w:rPr>
          <w:rFonts w:ascii="宋体" w:eastAsia="黑体" w:hAnsi="宋体" w:cs="Times New Roman"/>
          <w:kern w:val="0"/>
          <w:sz w:val="32"/>
          <w:szCs w:val="32"/>
        </w:rPr>
        <w:sectPr w:rsidR="003365D7" w:rsidRPr="003365D7">
          <w:headerReference w:type="default" r:id="rId13"/>
          <w:headerReference w:type="first" r:id="rId14"/>
          <w:pgSz w:w="11906" w:h="16838"/>
          <w:pgMar w:top="1701" w:right="851" w:bottom="1134" w:left="1418" w:header="720" w:footer="720" w:gutter="0"/>
          <w:cols w:space="720"/>
          <w:titlePg/>
          <w:docGrid w:linePitch="312"/>
        </w:sectPr>
      </w:pPr>
    </w:p>
    <w:p w14:paraId="631831A4" w14:textId="77777777" w:rsidR="003365D7" w:rsidRPr="003365D7" w:rsidRDefault="003365D7" w:rsidP="003365D7">
      <w:pPr>
        <w:keepNext/>
        <w:pageBreakBefore/>
        <w:widowControl/>
        <w:adjustRightInd w:val="0"/>
        <w:snapToGrid w:val="0"/>
        <w:spacing w:before="640" w:after="560" w:line="360" w:lineRule="auto"/>
        <w:jc w:val="center"/>
        <w:outlineLvl w:val="0"/>
        <w:rPr>
          <w:rFonts w:ascii="宋体" w:eastAsia="黑体" w:hAnsi="宋体" w:cs="Times New Roman"/>
          <w:kern w:val="0"/>
          <w:sz w:val="32"/>
          <w:szCs w:val="32"/>
        </w:rPr>
      </w:pPr>
      <w:r w:rsidRPr="003365D7">
        <w:rPr>
          <w:rFonts w:ascii="宋体" w:eastAsia="黑体" w:hAnsi="宋体" w:cs="Times New Roman" w:hint="eastAsia"/>
          <w:kern w:val="0"/>
          <w:sz w:val="32"/>
          <w:szCs w:val="32"/>
        </w:rPr>
        <w:lastRenderedPageBreak/>
        <w:t>前</w:t>
      </w:r>
      <w:bookmarkStart w:id="0" w:name="BKQY"/>
      <w:bookmarkEnd w:id="0"/>
      <w:r w:rsidRPr="003365D7">
        <w:rPr>
          <w:rFonts w:ascii="宋体" w:eastAsia="宋体" w:hAnsi="MS Mincho" w:cs="MS Mincho" w:hint="eastAsia"/>
          <w:kern w:val="0"/>
          <w:sz w:val="32"/>
          <w:szCs w:val="32"/>
        </w:rPr>
        <w:t xml:space="preserve">    </w:t>
      </w:r>
      <w:r w:rsidRPr="003365D7">
        <w:rPr>
          <w:rFonts w:ascii="宋体" w:eastAsia="黑体" w:hAnsi="宋体" w:cs="Times New Roman" w:hint="eastAsia"/>
          <w:kern w:val="0"/>
          <w:sz w:val="32"/>
          <w:szCs w:val="32"/>
        </w:rPr>
        <w:t>言</w:t>
      </w:r>
    </w:p>
    <w:p w14:paraId="32354E93" w14:textId="77777777" w:rsidR="003365D7" w:rsidRPr="003365D7" w:rsidRDefault="003365D7" w:rsidP="003365D7">
      <w:pPr>
        <w:adjustRightInd w:val="0"/>
        <w:snapToGrid w:val="0"/>
        <w:spacing w:line="360" w:lineRule="auto"/>
        <w:ind w:firstLineChars="200" w:firstLine="420"/>
        <w:rPr>
          <w:rFonts w:ascii="宋体" w:eastAsia="宋体" w:hAnsi="宋体" w:cs="Times New Roman"/>
          <w:kern w:val="0"/>
          <w:szCs w:val="24"/>
        </w:rPr>
      </w:pPr>
      <w:r w:rsidRPr="003365D7">
        <w:rPr>
          <w:rFonts w:ascii="宋体" w:eastAsia="宋体" w:hAnsi="宋体" w:cs="Times New Roman" w:hint="eastAsia"/>
          <w:kern w:val="0"/>
          <w:szCs w:val="24"/>
        </w:rPr>
        <w:t>本文件按照</w:t>
      </w:r>
      <w:r w:rsidRPr="003365D7">
        <w:rPr>
          <w:rFonts w:ascii="Times new roma" w:eastAsia="宋体" w:hAnsi="Times new roma" w:cs="Times New Roman" w:hint="eastAsia"/>
          <w:kern w:val="0"/>
          <w:szCs w:val="24"/>
        </w:rPr>
        <w:t>GB</w:t>
      </w:r>
      <w:r w:rsidRPr="003365D7">
        <w:rPr>
          <w:rFonts w:ascii="宋体" w:eastAsia="宋体" w:hAnsi="宋体" w:cs="Times New Roman" w:hint="eastAsia"/>
          <w:kern w:val="0"/>
          <w:szCs w:val="24"/>
        </w:rPr>
        <w:t>/</w:t>
      </w:r>
      <w:r w:rsidRPr="003365D7">
        <w:rPr>
          <w:rFonts w:ascii="Times new roma" w:eastAsia="宋体" w:hAnsi="Times new roma" w:cs="Times New Roman" w:hint="eastAsia"/>
          <w:kern w:val="0"/>
          <w:szCs w:val="24"/>
        </w:rPr>
        <w:t>T</w:t>
      </w:r>
      <w:r w:rsidRPr="003365D7">
        <w:rPr>
          <w:rFonts w:ascii="宋体" w:eastAsia="宋体" w:hAnsi="宋体" w:cs="Times New Roman" w:hint="eastAsia"/>
          <w:kern w:val="0"/>
          <w:szCs w:val="24"/>
        </w:rPr>
        <w:t xml:space="preserve"> 1.1-2020《标准化工作导则 第1部分：标准化文件的结构和起草规则》的规定起草。</w:t>
      </w:r>
    </w:p>
    <w:p w14:paraId="421429C1" w14:textId="77777777" w:rsidR="003365D7" w:rsidRPr="003365D7" w:rsidRDefault="003365D7" w:rsidP="003365D7">
      <w:pPr>
        <w:adjustRightInd w:val="0"/>
        <w:snapToGrid w:val="0"/>
        <w:spacing w:line="360" w:lineRule="auto"/>
        <w:ind w:firstLineChars="200" w:firstLine="420"/>
        <w:rPr>
          <w:rFonts w:ascii="宋体" w:eastAsia="宋体" w:hAnsi="宋体" w:cs="Times New Roman"/>
          <w:kern w:val="0"/>
          <w:szCs w:val="24"/>
        </w:rPr>
      </w:pPr>
      <w:r w:rsidRPr="003365D7">
        <w:rPr>
          <w:rFonts w:ascii="宋体" w:eastAsia="宋体" w:hAnsi="宋体" w:cs="Times New Roman" w:hint="eastAsia"/>
          <w:kern w:val="0"/>
          <w:szCs w:val="24"/>
        </w:rPr>
        <w:t>本文件代替</w:t>
      </w:r>
      <w:r w:rsidRPr="003365D7">
        <w:rPr>
          <w:rFonts w:ascii="Times new roma" w:eastAsia="宋体" w:hAnsi="Times new roma" w:cs="Times New Roman" w:hint="eastAsia"/>
          <w:kern w:val="0"/>
          <w:szCs w:val="24"/>
        </w:rPr>
        <w:t>DBS</w:t>
      </w:r>
      <w:r w:rsidRPr="003365D7">
        <w:rPr>
          <w:rFonts w:ascii="宋体" w:eastAsia="宋体" w:hAnsi="宋体" w:cs="Times New Roman" w:hint="eastAsia"/>
          <w:kern w:val="0"/>
          <w:szCs w:val="24"/>
        </w:rPr>
        <w:t>42/ 002-2014《富有机硒食品硒含量要求》,</w:t>
      </w:r>
      <w:r w:rsidRPr="003365D7">
        <w:rPr>
          <w:rFonts w:ascii="宋体" w:eastAsia="宋体" w:hAnsi="宋体" w:cs="Times New Roman" w:hint="eastAsia"/>
          <w:szCs w:val="24"/>
        </w:rPr>
        <w:t>与</w:t>
      </w:r>
      <w:r w:rsidRPr="003365D7">
        <w:rPr>
          <w:rFonts w:ascii="Times new roma" w:eastAsia="宋体" w:hAnsi="Times new roma" w:cs="Times New Roman" w:hint="eastAsia"/>
          <w:kern w:val="0"/>
          <w:szCs w:val="24"/>
        </w:rPr>
        <w:t>DBS</w:t>
      </w:r>
      <w:r w:rsidRPr="003365D7">
        <w:rPr>
          <w:rFonts w:ascii="宋体" w:eastAsia="宋体" w:hAnsi="宋体" w:cs="Times New Roman" w:hint="eastAsia"/>
          <w:kern w:val="0"/>
          <w:szCs w:val="24"/>
        </w:rPr>
        <w:t>42/ 002-2014</w:t>
      </w:r>
      <w:r w:rsidRPr="003365D7">
        <w:rPr>
          <w:rFonts w:ascii="宋体" w:eastAsia="宋体" w:hAnsi="宋体" w:cs="Times New Roman" w:hint="eastAsia"/>
          <w:szCs w:val="24"/>
        </w:rPr>
        <w:t>相比，</w:t>
      </w:r>
      <w:r w:rsidRPr="003365D7">
        <w:rPr>
          <w:rFonts w:ascii="宋体" w:eastAsia="宋体" w:hAnsi="宋体" w:cs="Arial" w:hint="eastAsia"/>
          <w:szCs w:val="24"/>
        </w:rPr>
        <w:t>除结构调整和编辑性改动外，主要技术变化如下</w:t>
      </w:r>
      <w:r w:rsidRPr="003365D7">
        <w:rPr>
          <w:rFonts w:ascii="宋体" w:eastAsia="宋体" w:hAnsi="宋体" w:cs="Times New Roman" w:hint="eastAsia"/>
          <w:szCs w:val="24"/>
        </w:rPr>
        <w:t>：</w:t>
      </w:r>
    </w:p>
    <w:p w14:paraId="1A92AE7A" w14:textId="77777777" w:rsidR="003365D7" w:rsidRPr="003365D7" w:rsidRDefault="003365D7" w:rsidP="003365D7">
      <w:pPr>
        <w:adjustRightInd w:val="0"/>
        <w:snapToGrid w:val="0"/>
        <w:spacing w:before="100" w:beforeAutospacing="1" w:after="100" w:afterAutospacing="1" w:line="360" w:lineRule="auto"/>
        <w:rPr>
          <w:rFonts w:ascii="宋体" w:eastAsia="宋体" w:hAnsi="宋体" w:cs="Times New Roman"/>
          <w:kern w:val="0"/>
          <w:szCs w:val="21"/>
        </w:rPr>
      </w:pPr>
      <w:r w:rsidRPr="003365D7">
        <w:rPr>
          <w:rFonts w:ascii="Times new roma" w:eastAsia="宋体" w:hAnsi="Times new roma" w:cs="Times New Roman" w:hint="eastAsia"/>
          <w:kern w:val="0"/>
          <w:szCs w:val="21"/>
        </w:rPr>
        <w:t>a</w:t>
      </w:r>
      <w:r w:rsidRPr="003365D7">
        <w:rPr>
          <w:rFonts w:ascii="宋体" w:eastAsia="宋体" w:hAnsi="宋体" w:cs="Times New Roman" w:hint="eastAsia"/>
          <w:kern w:val="0"/>
          <w:szCs w:val="21"/>
        </w:rPr>
        <w:t>）修改了适用范围；</w:t>
      </w:r>
    </w:p>
    <w:p w14:paraId="083C3E3D" w14:textId="77777777" w:rsidR="003365D7" w:rsidRPr="003365D7" w:rsidRDefault="003365D7" w:rsidP="003365D7">
      <w:pPr>
        <w:adjustRightInd w:val="0"/>
        <w:snapToGrid w:val="0"/>
        <w:spacing w:before="100" w:beforeAutospacing="1" w:after="100" w:afterAutospacing="1" w:line="360" w:lineRule="auto"/>
        <w:rPr>
          <w:rFonts w:ascii="宋体" w:eastAsia="宋体" w:hAnsi="宋体" w:cs="Times New Roman"/>
          <w:kern w:val="0"/>
          <w:szCs w:val="21"/>
        </w:rPr>
      </w:pPr>
      <w:r w:rsidRPr="003365D7">
        <w:rPr>
          <w:rFonts w:ascii="Times new roma" w:eastAsia="宋体" w:hAnsi="Times new roma" w:cs="Times New Roman" w:hint="eastAsia"/>
          <w:kern w:val="0"/>
          <w:szCs w:val="21"/>
        </w:rPr>
        <w:t>b</w:t>
      </w:r>
      <w:r w:rsidR="00263A7A">
        <w:rPr>
          <w:rFonts w:ascii="宋体" w:eastAsia="宋体" w:hAnsi="宋体" w:cs="Times New Roman" w:hint="eastAsia"/>
          <w:kern w:val="0"/>
          <w:szCs w:val="21"/>
        </w:rPr>
        <w:t>）修改</w:t>
      </w:r>
      <w:r w:rsidRPr="003365D7">
        <w:rPr>
          <w:rFonts w:ascii="宋体" w:eastAsia="宋体" w:hAnsi="宋体" w:cs="Times New Roman" w:hint="eastAsia"/>
          <w:kern w:val="0"/>
          <w:szCs w:val="21"/>
        </w:rPr>
        <w:t>了</w:t>
      </w:r>
      <w:proofErr w:type="gramStart"/>
      <w:r w:rsidRPr="003365D7">
        <w:rPr>
          <w:rFonts w:ascii="宋体" w:eastAsia="宋体" w:hAnsi="宋体" w:cs="Times New Roman" w:hint="eastAsia"/>
          <w:kern w:val="0"/>
          <w:szCs w:val="21"/>
        </w:rPr>
        <w:t>富有机硒食品</w:t>
      </w:r>
      <w:proofErr w:type="gramEnd"/>
      <w:r w:rsidRPr="003365D7">
        <w:rPr>
          <w:rFonts w:ascii="宋体" w:eastAsia="宋体" w:hAnsi="宋体" w:cs="Times New Roman" w:hint="eastAsia"/>
          <w:kern w:val="0"/>
          <w:szCs w:val="21"/>
        </w:rPr>
        <w:t>的定义；</w:t>
      </w:r>
    </w:p>
    <w:p w14:paraId="0A2C5B51" w14:textId="77777777" w:rsidR="003365D7" w:rsidRPr="003365D7" w:rsidRDefault="003365D7" w:rsidP="003365D7">
      <w:pPr>
        <w:adjustRightInd w:val="0"/>
        <w:snapToGrid w:val="0"/>
        <w:spacing w:before="100" w:beforeAutospacing="1" w:after="100" w:afterAutospacing="1" w:line="360" w:lineRule="auto"/>
        <w:rPr>
          <w:rFonts w:ascii="宋体" w:eastAsia="宋体" w:hAnsi="宋体" w:cs="Times New Roman"/>
          <w:kern w:val="0"/>
          <w:szCs w:val="21"/>
        </w:rPr>
      </w:pPr>
      <w:r w:rsidRPr="003365D7">
        <w:rPr>
          <w:rFonts w:ascii="Times new roma" w:eastAsia="宋体" w:hAnsi="Times new roma" w:cs="Times New Roman" w:hint="eastAsia"/>
          <w:kern w:val="0"/>
          <w:szCs w:val="21"/>
        </w:rPr>
        <w:t>c</w:t>
      </w:r>
      <w:r w:rsidRPr="003365D7">
        <w:rPr>
          <w:rFonts w:ascii="宋体" w:eastAsia="宋体" w:hAnsi="宋体" w:cs="Times New Roman" w:hint="eastAsia"/>
          <w:kern w:val="0"/>
          <w:szCs w:val="21"/>
        </w:rPr>
        <w:t>）修改了食品分类</w:t>
      </w:r>
      <w:proofErr w:type="gramStart"/>
      <w:r w:rsidRPr="003365D7">
        <w:rPr>
          <w:rFonts w:ascii="宋体" w:eastAsia="宋体" w:hAnsi="宋体" w:cs="Times New Roman" w:hint="eastAsia"/>
          <w:kern w:val="0"/>
          <w:szCs w:val="21"/>
        </w:rPr>
        <w:t>及总硒含量</w:t>
      </w:r>
      <w:proofErr w:type="gramEnd"/>
      <w:r w:rsidRPr="003365D7">
        <w:rPr>
          <w:rFonts w:ascii="宋体" w:eastAsia="宋体" w:hAnsi="宋体" w:cs="Times New Roman" w:hint="eastAsia"/>
          <w:kern w:val="0"/>
          <w:szCs w:val="21"/>
        </w:rPr>
        <w:t>要求；</w:t>
      </w:r>
    </w:p>
    <w:p w14:paraId="62B7EBE5" w14:textId="77777777" w:rsidR="003365D7" w:rsidRPr="003365D7" w:rsidRDefault="003365D7" w:rsidP="003365D7">
      <w:pPr>
        <w:adjustRightInd w:val="0"/>
        <w:snapToGrid w:val="0"/>
        <w:spacing w:before="100" w:beforeAutospacing="1" w:after="100" w:afterAutospacing="1" w:line="360" w:lineRule="auto"/>
        <w:rPr>
          <w:rFonts w:ascii="宋体" w:eastAsia="宋体" w:hAnsi="宋体" w:cs="Times New Roman"/>
          <w:kern w:val="0"/>
          <w:szCs w:val="21"/>
        </w:rPr>
      </w:pPr>
      <w:r w:rsidRPr="003365D7">
        <w:rPr>
          <w:rFonts w:ascii="Times new roma" w:eastAsia="宋体" w:hAnsi="Times new roma" w:cs="Times New Roman" w:hint="eastAsia"/>
          <w:kern w:val="0"/>
          <w:szCs w:val="21"/>
        </w:rPr>
        <w:t>d</w:t>
      </w:r>
      <w:r w:rsidRPr="003365D7">
        <w:rPr>
          <w:rFonts w:ascii="宋体" w:eastAsia="宋体" w:hAnsi="宋体" w:cs="Times New Roman" w:hint="eastAsia"/>
          <w:kern w:val="0"/>
          <w:szCs w:val="21"/>
        </w:rPr>
        <w:t>）修改了无机硒测定方法；</w:t>
      </w:r>
    </w:p>
    <w:p w14:paraId="44E1963E" w14:textId="77777777" w:rsidR="003365D7" w:rsidRPr="003365D7" w:rsidRDefault="003365D7" w:rsidP="003365D7">
      <w:pPr>
        <w:adjustRightInd w:val="0"/>
        <w:snapToGrid w:val="0"/>
        <w:spacing w:before="100" w:beforeAutospacing="1" w:after="100" w:afterAutospacing="1" w:line="360" w:lineRule="auto"/>
        <w:rPr>
          <w:rFonts w:ascii="宋体" w:eastAsia="宋体" w:hAnsi="宋体" w:cs="Times New Roman"/>
          <w:kern w:val="0"/>
          <w:szCs w:val="21"/>
        </w:rPr>
      </w:pPr>
      <w:r w:rsidRPr="003365D7">
        <w:rPr>
          <w:rFonts w:ascii="Times new roma" w:eastAsia="宋体" w:hAnsi="Times new roma" w:cs="Times New Roman" w:hint="eastAsia"/>
          <w:kern w:val="0"/>
          <w:szCs w:val="21"/>
        </w:rPr>
        <w:t>e</w:t>
      </w:r>
      <w:r w:rsidRPr="003365D7">
        <w:rPr>
          <w:rFonts w:ascii="宋体" w:eastAsia="宋体" w:hAnsi="宋体" w:cs="Times New Roman" w:hint="eastAsia"/>
          <w:kern w:val="0"/>
          <w:szCs w:val="21"/>
        </w:rPr>
        <w:t>）删除了原标准附录</w:t>
      </w:r>
      <w:r w:rsidRPr="003365D7">
        <w:rPr>
          <w:rFonts w:ascii="Times new roma" w:eastAsia="宋体" w:hAnsi="Times new roma" w:cs="Times New Roman" w:hint="eastAsia"/>
          <w:kern w:val="0"/>
          <w:szCs w:val="21"/>
        </w:rPr>
        <w:t>A</w:t>
      </w:r>
      <w:r w:rsidRPr="003365D7">
        <w:rPr>
          <w:rFonts w:ascii="宋体" w:eastAsia="宋体" w:hAnsi="宋体" w:cs="Times New Roman" w:hint="eastAsia"/>
          <w:kern w:val="0"/>
          <w:szCs w:val="21"/>
        </w:rPr>
        <w:t>。</w:t>
      </w:r>
    </w:p>
    <w:p w14:paraId="1D4DB180" w14:textId="77777777" w:rsidR="003365D7" w:rsidRPr="003365D7" w:rsidRDefault="003365D7" w:rsidP="003365D7">
      <w:pPr>
        <w:widowControl/>
        <w:autoSpaceDE w:val="0"/>
        <w:autoSpaceDN w:val="0"/>
        <w:adjustRightInd w:val="0"/>
        <w:snapToGrid w:val="0"/>
        <w:spacing w:line="360" w:lineRule="auto"/>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请注意本文件的某些内容可能涉及专利。本文件的发布机构不承担识别专利的责任。</w:t>
      </w:r>
    </w:p>
    <w:p w14:paraId="489F4155" w14:textId="77777777" w:rsidR="003365D7" w:rsidRPr="003365D7" w:rsidRDefault="003365D7" w:rsidP="003365D7">
      <w:pPr>
        <w:adjustRightInd w:val="0"/>
        <w:snapToGrid w:val="0"/>
        <w:spacing w:line="360" w:lineRule="auto"/>
        <w:ind w:firstLineChars="200" w:firstLine="420"/>
        <w:rPr>
          <w:rFonts w:ascii="宋体" w:eastAsia="宋体" w:hAnsi="宋体" w:cs="Times New Roman"/>
          <w:szCs w:val="24"/>
        </w:rPr>
      </w:pPr>
      <w:r w:rsidRPr="003365D7">
        <w:rPr>
          <w:rFonts w:ascii="宋体" w:eastAsia="宋体" w:hAnsi="宋体" w:cs="Times New Roman" w:hint="eastAsia"/>
          <w:kern w:val="0"/>
          <w:szCs w:val="24"/>
        </w:rPr>
        <w:t>本文件由恩施土家族苗族自治州公共检验检测中心、恩施土家族苗族自治州</w:t>
      </w:r>
      <w:proofErr w:type="gramStart"/>
      <w:r w:rsidRPr="003365D7">
        <w:rPr>
          <w:rFonts w:ascii="宋体" w:eastAsia="宋体" w:hAnsi="宋体" w:cs="Times New Roman" w:hint="eastAsia"/>
          <w:kern w:val="0"/>
          <w:szCs w:val="24"/>
        </w:rPr>
        <w:t>硒资源</w:t>
      </w:r>
      <w:proofErr w:type="gramEnd"/>
      <w:r w:rsidRPr="003365D7">
        <w:rPr>
          <w:rFonts w:ascii="宋体" w:eastAsia="宋体" w:hAnsi="宋体" w:cs="Times New Roman" w:hint="eastAsia"/>
          <w:kern w:val="0"/>
          <w:szCs w:val="24"/>
        </w:rPr>
        <w:t>保护与开发中心提出</w:t>
      </w:r>
      <w:r w:rsidRPr="003365D7">
        <w:rPr>
          <w:rFonts w:ascii="宋体" w:eastAsia="宋体" w:hAnsi="宋体" w:cs="Times New Roman" w:hint="eastAsia"/>
          <w:szCs w:val="24"/>
        </w:rPr>
        <w:t>。</w:t>
      </w:r>
    </w:p>
    <w:p w14:paraId="209A3ECF" w14:textId="77777777" w:rsidR="003365D7" w:rsidRPr="003365D7" w:rsidRDefault="003365D7" w:rsidP="003365D7">
      <w:pPr>
        <w:widowControl/>
        <w:autoSpaceDE w:val="0"/>
        <w:autoSpaceDN w:val="0"/>
        <w:adjustRightInd w:val="0"/>
        <w:snapToGrid w:val="0"/>
        <w:spacing w:line="360" w:lineRule="auto"/>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本文件由湖北省卫生健康委员会归口。</w:t>
      </w:r>
    </w:p>
    <w:p w14:paraId="58685860" w14:textId="77777777" w:rsidR="003365D7" w:rsidRPr="003365D7" w:rsidRDefault="003365D7" w:rsidP="003365D7">
      <w:pPr>
        <w:adjustRightInd w:val="0"/>
        <w:snapToGrid w:val="0"/>
        <w:spacing w:line="360" w:lineRule="auto"/>
        <w:ind w:firstLineChars="200" w:firstLine="420"/>
        <w:rPr>
          <w:rFonts w:ascii="宋体" w:eastAsia="宋体" w:hAnsi="宋体" w:cs="Times New Roman"/>
          <w:kern w:val="0"/>
          <w:szCs w:val="24"/>
        </w:rPr>
      </w:pPr>
      <w:r w:rsidRPr="003365D7">
        <w:rPr>
          <w:rFonts w:ascii="宋体" w:eastAsia="宋体" w:hAnsi="宋体" w:cs="Times New Roman" w:hint="eastAsia"/>
          <w:kern w:val="0"/>
          <w:szCs w:val="24"/>
        </w:rPr>
        <w:t>本文件起草单位：恩施土家族苗族自治州公共检验检测中心（国家富硒产品质量监督检验中心）、恩施土家族苗族自治州农业科学院、国家富硒农产品加工技术研发专业中心、湖北省</w:t>
      </w:r>
      <w:proofErr w:type="gramStart"/>
      <w:r w:rsidRPr="003365D7">
        <w:rPr>
          <w:rFonts w:ascii="宋体" w:eastAsia="宋体" w:hAnsi="宋体" w:cs="Times New Roman" w:hint="eastAsia"/>
          <w:kern w:val="0"/>
          <w:szCs w:val="24"/>
        </w:rPr>
        <w:t>硒产业</w:t>
      </w:r>
      <w:proofErr w:type="gramEnd"/>
      <w:r w:rsidRPr="003365D7">
        <w:rPr>
          <w:rFonts w:ascii="宋体" w:eastAsia="宋体" w:hAnsi="宋体" w:cs="Times New Roman" w:hint="eastAsia"/>
          <w:kern w:val="0"/>
          <w:szCs w:val="24"/>
        </w:rPr>
        <w:t>协会、恩施德</w:t>
      </w:r>
      <w:proofErr w:type="gramStart"/>
      <w:r w:rsidRPr="003365D7">
        <w:rPr>
          <w:rFonts w:ascii="宋体" w:eastAsia="宋体" w:hAnsi="宋体" w:cs="Times New Roman" w:hint="eastAsia"/>
          <w:kern w:val="0"/>
          <w:szCs w:val="24"/>
        </w:rPr>
        <w:t>源健康</w:t>
      </w:r>
      <w:proofErr w:type="gramEnd"/>
      <w:r w:rsidRPr="003365D7">
        <w:rPr>
          <w:rFonts w:ascii="宋体" w:eastAsia="宋体" w:hAnsi="宋体" w:cs="Times New Roman" w:hint="eastAsia"/>
          <w:kern w:val="0"/>
          <w:szCs w:val="24"/>
        </w:rPr>
        <w:t>科技发展有限公司、中硒集团、</w:t>
      </w:r>
      <w:proofErr w:type="gramStart"/>
      <w:r w:rsidRPr="003365D7">
        <w:rPr>
          <w:rFonts w:ascii="宋体" w:eastAsia="宋体" w:hAnsi="宋体" w:cs="Times New Roman" w:hint="eastAsia"/>
          <w:kern w:val="0"/>
          <w:szCs w:val="24"/>
        </w:rPr>
        <w:t>恩施硒圣植物</w:t>
      </w:r>
      <w:proofErr w:type="gramEnd"/>
      <w:r w:rsidRPr="003365D7">
        <w:rPr>
          <w:rFonts w:ascii="宋体" w:eastAsia="宋体" w:hAnsi="宋体" w:cs="Times New Roman" w:hint="eastAsia"/>
          <w:kern w:val="0"/>
          <w:szCs w:val="24"/>
        </w:rPr>
        <w:t>科技有限公司、恩施</w:t>
      </w:r>
      <w:proofErr w:type="gramStart"/>
      <w:r w:rsidRPr="003365D7">
        <w:rPr>
          <w:rFonts w:ascii="宋体" w:eastAsia="宋体" w:hAnsi="宋体" w:cs="Times New Roman" w:hint="eastAsia"/>
          <w:kern w:val="0"/>
          <w:szCs w:val="24"/>
        </w:rPr>
        <w:t>徕福硒业</w:t>
      </w:r>
      <w:proofErr w:type="gramEnd"/>
      <w:r w:rsidRPr="003365D7">
        <w:rPr>
          <w:rFonts w:ascii="宋体" w:eastAsia="宋体" w:hAnsi="宋体" w:cs="Times New Roman" w:hint="eastAsia"/>
          <w:kern w:val="0"/>
          <w:szCs w:val="24"/>
        </w:rPr>
        <w:t>有限公司。</w:t>
      </w:r>
    </w:p>
    <w:p w14:paraId="36133829" w14:textId="77777777" w:rsidR="003365D7" w:rsidRPr="003365D7" w:rsidRDefault="003365D7" w:rsidP="003365D7">
      <w:pPr>
        <w:widowControl/>
        <w:autoSpaceDE w:val="0"/>
        <w:autoSpaceDN w:val="0"/>
        <w:adjustRightInd w:val="0"/>
        <w:snapToGrid w:val="0"/>
        <w:spacing w:line="360" w:lineRule="auto"/>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本文件主要起草人：薛华、廖美林、谢义梅、向极钎、张弛、丛欣、田宗仁、黄波、周灵、王祝、张新江。</w:t>
      </w:r>
    </w:p>
    <w:p w14:paraId="1A5E5C35" w14:textId="77777777" w:rsidR="003365D7" w:rsidRPr="003365D7" w:rsidRDefault="003365D7" w:rsidP="003365D7">
      <w:pPr>
        <w:widowControl/>
        <w:autoSpaceDE w:val="0"/>
        <w:autoSpaceDN w:val="0"/>
        <w:adjustRightInd w:val="0"/>
        <w:snapToGrid w:val="0"/>
        <w:spacing w:line="360" w:lineRule="auto"/>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本文件及其所代替文件的历次版本发布情况为：</w:t>
      </w:r>
    </w:p>
    <w:p w14:paraId="31041287" w14:textId="77777777" w:rsidR="003365D7" w:rsidRPr="003365D7" w:rsidRDefault="003365D7" w:rsidP="003365D7">
      <w:pPr>
        <w:widowControl/>
        <w:autoSpaceDE w:val="0"/>
        <w:autoSpaceDN w:val="0"/>
        <w:adjustRightInd w:val="0"/>
        <w:snapToGrid w:val="0"/>
        <w:spacing w:line="360" w:lineRule="auto"/>
        <w:ind w:firstLineChars="200" w:firstLine="420"/>
        <w:rPr>
          <w:rFonts w:ascii="宋体" w:eastAsia="宋体" w:hAnsi="宋体" w:cs="Times New Roman"/>
          <w:kern w:val="0"/>
          <w:szCs w:val="21"/>
        </w:rPr>
      </w:pPr>
      <w:r w:rsidRPr="003365D7">
        <w:rPr>
          <w:rFonts w:ascii="宋体" w:eastAsia="黑体" w:hAnsi="宋体" w:cs="Times New Roman" w:hint="eastAsia"/>
          <w:kern w:val="0"/>
          <w:szCs w:val="21"/>
        </w:rPr>
        <w:lastRenderedPageBreak/>
        <w:t>——</w:t>
      </w:r>
      <w:r w:rsidRPr="003365D7">
        <w:rPr>
          <w:rFonts w:ascii="宋体" w:eastAsia="宋体" w:hAnsi="宋体" w:cs="Times New Roman" w:hint="eastAsia"/>
          <w:kern w:val="0"/>
          <w:szCs w:val="21"/>
        </w:rPr>
        <w:t>2014年首次发布为</w:t>
      </w:r>
      <w:r w:rsidRPr="003365D7">
        <w:rPr>
          <w:rFonts w:ascii="Times new roma" w:eastAsia="宋体" w:hAnsi="Times new roma" w:cs="Times New Roman" w:hint="eastAsia"/>
          <w:kern w:val="0"/>
          <w:szCs w:val="21"/>
        </w:rPr>
        <w:t>DBS</w:t>
      </w:r>
      <w:r w:rsidRPr="003365D7">
        <w:rPr>
          <w:rFonts w:ascii="宋体" w:eastAsia="宋体" w:hAnsi="宋体" w:cs="Times New Roman" w:hint="eastAsia"/>
          <w:kern w:val="0"/>
          <w:szCs w:val="21"/>
        </w:rPr>
        <w:t>42/002-2014。</w:t>
      </w:r>
    </w:p>
    <w:p w14:paraId="0447A481" w14:textId="77777777" w:rsidR="003365D7" w:rsidRPr="003365D7" w:rsidRDefault="003365D7" w:rsidP="003365D7">
      <w:pPr>
        <w:widowControl/>
        <w:autoSpaceDE w:val="0"/>
        <w:autoSpaceDN w:val="0"/>
        <w:adjustRightInd w:val="0"/>
        <w:snapToGrid w:val="0"/>
        <w:spacing w:line="360" w:lineRule="auto"/>
        <w:rPr>
          <w:rFonts w:ascii="宋体" w:eastAsia="宋体" w:hAnsi="宋体" w:cs="Times New Roman"/>
          <w:kern w:val="0"/>
          <w:szCs w:val="21"/>
        </w:rPr>
      </w:pPr>
    </w:p>
    <w:p w14:paraId="4B7EAC13" w14:textId="77777777" w:rsidR="003365D7" w:rsidRPr="003365D7" w:rsidRDefault="003365D7" w:rsidP="003365D7">
      <w:pPr>
        <w:keepNext/>
        <w:pageBreakBefore/>
        <w:widowControl/>
        <w:spacing w:before="640" w:after="560" w:line="460" w:lineRule="exact"/>
        <w:jc w:val="center"/>
        <w:outlineLvl w:val="0"/>
        <w:rPr>
          <w:rFonts w:ascii="宋体" w:eastAsia="黑体" w:hAnsi="宋体" w:cs="Times New Roman"/>
          <w:kern w:val="0"/>
          <w:sz w:val="32"/>
          <w:szCs w:val="32"/>
        </w:rPr>
      </w:pPr>
      <w:proofErr w:type="gramStart"/>
      <w:r w:rsidRPr="003365D7">
        <w:rPr>
          <w:rFonts w:ascii="宋体" w:eastAsia="黑体" w:hAnsi="宋体" w:cs="Times New Roman" w:hint="eastAsia"/>
          <w:kern w:val="0"/>
          <w:sz w:val="32"/>
          <w:szCs w:val="32"/>
        </w:rPr>
        <w:lastRenderedPageBreak/>
        <w:t>富有机硒食品硒</w:t>
      </w:r>
      <w:proofErr w:type="gramEnd"/>
      <w:r w:rsidRPr="003365D7">
        <w:rPr>
          <w:rFonts w:ascii="宋体" w:eastAsia="黑体" w:hAnsi="宋体" w:cs="Times New Roman" w:hint="eastAsia"/>
          <w:kern w:val="0"/>
          <w:sz w:val="32"/>
          <w:szCs w:val="32"/>
        </w:rPr>
        <w:t>含量要求</w:t>
      </w:r>
    </w:p>
    <w:p w14:paraId="559C2C1E" w14:textId="77777777" w:rsidR="003365D7" w:rsidRPr="003365D7" w:rsidRDefault="003365D7" w:rsidP="003365D7">
      <w:pPr>
        <w:widowControl/>
        <w:numPr>
          <w:ilvl w:val="0"/>
          <w:numId w:val="1"/>
        </w:numPr>
        <w:spacing w:beforeLines="100" w:before="240" w:afterLines="100" w:after="240"/>
        <w:ind w:firstLine="630"/>
        <w:outlineLvl w:val="1"/>
        <w:rPr>
          <w:rFonts w:ascii="宋体" w:eastAsia="黑体" w:hAnsi="宋体" w:cs="Times New Roman"/>
          <w:kern w:val="0"/>
          <w:szCs w:val="21"/>
        </w:rPr>
      </w:pPr>
      <w:r w:rsidRPr="003365D7">
        <w:rPr>
          <w:rFonts w:ascii="宋体" w:eastAsia="黑体" w:hAnsi="宋体" w:cs="Times New Roman" w:hint="eastAsia"/>
          <w:kern w:val="0"/>
          <w:szCs w:val="21"/>
        </w:rPr>
        <w:t>范围</w:t>
      </w:r>
    </w:p>
    <w:p w14:paraId="63556538"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本文件规定了</w:t>
      </w:r>
      <w:proofErr w:type="gramStart"/>
      <w:r w:rsidRPr="003365D7">
        <w:rPr>
          <w:rFonts w:ascii="宋体" w:eastAsia="宋体" w:hAnsi="宋体" w:cs="Times New Roman" w:hint="eastAsia"/>
          <w:kern w:val="0"/>
          <w:szCs w:val="21"/>
        </w:rPr>
        <w:t>富有机硒食品</w:t>
      </w:r>
      <w:proofErr w:type="gramEnd"/>
      <w:r w:rsidRPr="003365D7">
        <w:rPr>
          <w:rFonts w:ascii="宋体" w:eastAsia="宋体" w:hAnsi="宋体" w:cs="Times New Roman" w:hint="eastAsia"/>
          <w:kern w:val="0"/>
          <w:szCs w:val="21"/>
        </w:rPr>
        <w:t>的术语和定义、硒含量要求、检验方法及标注要求。</w:t>
      </w:r>
    </w:p>
    <w:p w14:paraId="5E190BE1"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本文件适用于种植（养殖）、生长在含硒土壤或通过生物转化等措施生产的富含有机硒的食品。</w:t>
      </w:r>
    </w:p>
    <w:p w14:paraId="01E99E38"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本文件不适用于在加工过程中添加硒的强化食品和以精深加工工艺（如提取、压榨等）</w:t>
      </w:r>
      <w:proofErr w:type="gramStart"/>
      <w:r w:rsidRPr="003365D7">
        <w:rPr>
          <w:rFonts w:ascii="宋体" w:eastAsia="宋体" w:hAnsi="宋体" w:cs="Times New Roman" w:hint="eastAsia"/>
          <w:kern w:val="0"/>
          <w:szCs w:val="21"/>
        </w:rPr>
        <w:t>获得硒源进行</w:t>
      </w:r>
      <w:proofErr w:type="gramEnd"/>
      <w:r w:rsidRPr="003365D7">
        <w:rPr>
          <w:rFonts w:ascii="宋体" w:eastAsia="宋体" w:hAnsi="宋体" w:cs="Times New Roman" w:hint="eastAsia"/>
          <w:kern w:val="0"/>
          <w:szCs w:val="21"/>
        </w:rPr>
        <w:t>制备的食品。</w:t>
      </w:r>
    </w:p>
    <w:p w14:paraId="7A6777E6" w14:textId="77777777" w:rsidR="003365D7" w:rsidRPr="003365D7" w:rsidRDefault="003365D7" w:rsidP="003365D7">
      <w:pPr>
        <w:widowControl/>
        <w:numPr>
          <w:ilvl w:val="0"/>
          <w:numId w:val="1"/>
        </w:numPr>
        <w:spacing w:beforeLines="100" w:before="240" w:afterLines="100" w:after="240"/>
        <w:ind w:firstLine="630"/>
        <w:outlineLvl w:val="1"/>
        <w:rPr>
          <w:rFonts w:ascii="宋体" w:eastAsia="黑体" w:hAnsi="宋体" w:cs="Times New Roman"/>
          <w:kern w:val="0"/>
          <w:szCs w:val="21"/>
        </w:rPr>
      </w:pPr>
      <w:r w:rsidRPr="003365D7">
        <w:rPr>
          <w:rFonts w:ascii="宋体" w:eastAsia="黑体" w:hAnsi="宋体" w:cs="Times New Roman" w:hint="eastAsia"/>
          <w:kern w:val="0"/>
          <w:szCs w:val="21"/>
        </w:rPr>
        <w:t>规范性引用文件</w:t>
      </w:r>
    </w:p>
    <w:p w14:paraId="6E6F9D2D"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下列文件中的内容通过文中的规范性引用而构成本文件必不可少的条款。其中，注日期的引用文件，仅该日期对应的版本适用于本文件；不注日期的引用文件，其最新版本</w:t>
      </w:r>
      <w:r w:rsidRPr="003365D7">
        <w:rPr>
          <w:rFonts w:ascii="宋体" w:eastAsia="宋体" w:hAnsi="宋体" w:cs="Times New Roman"/>
          <w:kern w:val="0"/>
          <w:szCs w:val="21"/>
        </w:rPr>
        <w:t>（</w:t>
      </w:r>
      <w:r w:rsidRPr="003365D7">
        <w:rPr>
          <w:rFonts w:ascii="宋体" w:eastAsia="宋体" w:hAnsi="宋体" w:cs="Times New Roman" w:hint="eastAsia"/>
          <w:kern w:val="0"/>
          <w:szCs w:val="21"/>
        </w:rPr>
        <w:t>包括所有的修改单）适用于本文件。</w:t>
      </w:r>
    </w:p>
    <w:p w14:paraId="4AEDCA66" w14:textId="77777777" w:rsidR="003365D7" w:rsidRPr="003365D7" w:rsidRDefault="003365D7" w:rsidP="003365D7">
      <w:pPr>
        <w:widowControl/>
        <w:autoSpaceDE w:val="0"/>
        <w:autoSpaceDN w:val="0"/>
        <w:spacing w:line="400" w:lineRule="exact"/>
        <w:ind w:firstLineChars="200" w:firstLine="420"/>
        <w:jc w:val="left"/>
        <w:rPr>
          <w:rFonts w:ascii="宋体" w:eastAsia="宋体" w:hAnsi="宋体" w:cs="Times New Roman"/>
          <w:kern w:val="0"/>
          <w:szCs w:val="21"/>
        </w:rPr>
      </w:pPr>
      <w:bookmarkStart w:id="1" w:name="_Hlk46157258"/>
      <w:bookmarkEnd w:id="1"/>
      <w:r w:rsidRPr="003365D7">
        <w:rPr>
          <w:rFonts w:ascii="Times new roma" w:eastAsia="宋体" w:hAnsi="Times new roma" w:cs="Times New Roman" w:hint="eastAsia"/>
          <w:kern w:val="0"/>
          <w:szCs w:val="21"/>
        </w:rPr>
        <w:t>GB</w:t>
      </w:r>
      <w:r w:rsidRPr="003365D7">
        <w:rPr>
          <w:rFonts w:ascii="宋体" w:eastAsia="宋体" w:hAnsi="宋体" w:cs="Times New Roman" w:hint="eastAsia"/>
          <w:kern w:val="0"/>
          <w:szCs w:val="21"/>
        </w:rPr>
        <w:t xml:space="preserve"> 5009.93  食品安全国家标准 食品中硒的测定</w:t>
      </w:r>
    </w:p>
    <w:p w14:paraId="1F7A790F" w14:textId="77777777" w:rsidR="003365D7" w:rsidRPr="003365D7" w:rsidRDefault="003365D7" w:rsidP="003365D7">
      <w:pPr>
        <w:widowControl/>
        <w:autoSpaceDE w:val="0"/>
        <w:autoSpaceDN w:val="0"/>
        <w:spacing w:line="400" w:lineRule="exact"/>
        <w:ind w:firstLineChars="200" w:firstLine="420"/>
        <w:jc w:val="left"/>
        <w:rPr>
          <w:rFonts w:ascii="宋体" w:eastAsia="宋体" w:hAnsi="宋体" w:cs="Times New Roman"/>
          <w:kern w:val="0"/>
          <w:szCs w:val="21"/>
        </w:rPr>
      </w:pPr>
      <w:r w:rsidRPr="003365D7">
        <w:rPr>
          <w:rFonts w:ascii="Times new roma" w:eastAsia="宋体" w:hAnsi="Times new roma" w:cs="Times New Roman" w:hint="eastAsia"/>
          <w:kern w:val="0"/>
          <w:szCs w:val="21"/>
        </w:rPr>
        <w:t>GB</w:t>
      </w:r>
      <w:r w:rsidRPr="003365D7">
        <w:rPr>
          <w:rFonts w:ascii="宋体" w:eastAsia="宋体" w:hAnsi="宋体" w:cs="Times New Roman" w:hint="eastAsia"/>
          <w:kern w:val="0"/>
          <w:szCs w:val="21"/>
        </w:rPr>
        <w:t xml:space="preserve"> 7718     食品安全国家标准 预包装食品标签通则</w:t>
      </w:r>
    </w:p>
    <w:p w14:paraId="3882EB4C" w14:textId="77777777" w:rsidR="003365D7" w:rsidRPr="003365D7" w:rsidRDefault="003365D7" w:rsidP="003365D7">
      <w:pPr>
        <w:widowControl/>
        <w:autoSpaceDE w:val="0"/>
        <w:autoSpaceDN w:val="0"/>
        <w:spacing w:line="400" w:lineRule="exact"/>
        <w:ind w:firstLineChars="200" w:firstLine="420"/>
        <w:jc w:val="left"/>
        <w:rPr>
          <w:rFonts w:ascii="宋体" w:eastAsia="宋体" w:hAnsi="宋体" w:cs="Times New Roman"/>
          <w:kern w:val="0"/>
          <w:szCs w:val="21"/>
        </w:rPr>
      </w:pPr>
      <w:r w:rsidRPr="003365D7">
        <w:rPr>
          <w:rFonts w:ascii="Times new roma" w:eastAsia="宋体" w:hAnsi="Times new roma" w:cs="Times New Roman" w:hint="eastAsia"/>
          <w:kern w:val="0"/>
          <w:szCs w:val="21"/>
        </w:rPr>
        <w:t>GB</w:t>
      </w:r>
      <w:r w:rsidRPr="003365D7">
        <w:rPr>
          <w:rFonts w:ascii="宋体" w:eastAsia="宋体" w:hAnsi="宋体" w:cs="Times New Roman" w:hint="eastAsia"/>
          <w:kern w:val="0"/>
          <w:szCs w:val="21"/>
        </w:rPr>
        <w:t xml:space="preserve"> 28050    食品安全国家标准 预包装食品营养标签通则</w:t>
      </w:r>
    </w:p>
    <w:p w14:paraId="11899AF4" w14:textId="77777777" w:rsidR="003365D7" w:rsidRPr="003365D7" w:rsidRDefault="003365D7" w:rsidP="003365D7">
      <w:pPr>
        <w:widowControl/>
        <w:autoSpaceDE w:val="0"/>
        <w:autoSpaceDN w:val="0"/>
        <w:spacing w:line="400" w:lineRule="exact"/>
        <w:ind w:firstLineChars="200" w:firstLine="420"/>
        <w:jc w:val="left"/>
        <w:rPr>
          <w:rFonts w:ascii="宋体" w:eastAsia="宋体" w:hAnsi="宋体" w:cs="Times New Roman"/>
          <w:kern w:val="0"/>
          <w:szCs w:val="21"/>
        </w:rPr>
      </w:pPr>
      <w:r w:rsidRPr="003365D7">
        <w:rPr>
          <w:rFonts w:ascii="Times new roma" w:eastAsia="宋体" w:hAnsi="Times new roma" w:cs="Times New Roman" w:hint="eastAsia"/>
          <w:kern w:val="0"/>
          <w:szCs w:val="21"/>
        </w:rPr>
        <w:t>WS</w:t>
      </w:r>
      <w:r w:rsidRPr="003365D7">
        <w:rPr>
          <w:rFonts w:ascii="宋体" w:eastAsia="宋体" w:hAnsi="宋体" w:cs="Times New Roman" w:hint="eastAsia"/>
          <w:kern w:val="0"/>
          <w:szCs w:val="21"/>
        </w:rPr>
        <w:t>/</w:t>
      </w:r>
      <w:r w:rsidRPr="003365D7">
        <w:rPr>
          <w:rFonts w:ascii="Times new roma" w:eastAsia="宋体" w:hAnsi="Times new roma" w:cs="Times New Roman" w:hint="eastAsia"/>
          <w:kern w:val="0"/>
          <w:szCs w:val="21"/>
        </w:rPr>
        <w:t>T</w:t>
      </w:r>
      <w:r w:rsidRPr="003365D7">
        <w:rPr>
          <w:rFonts w:ascii="宋体" w:eastAsia="宋体" w:hAnsi="宋体" w:cs="Times New Roman" w:hint="eastAsia"/>
          <w:kern w:val="0"/>
          <w:szCs w:val="21"/>
        </w:rPr>
        <w:t xml:space="preserve"> 578.3  中国居民膳食营养素参考摄入量 第 3 部分：微量元素</w:t>
      </w:r>
    </w:p>
    <w:p w14:paraId="670A3C09" w14:textId="77777777" w:rsidR="003365D7" w:rsidRPr="003365D7" w:rsidRDefault="003365D7" w:rsidP="003365D7">
      <w:pPr>
        <w:widowControl/>
        <w:autoSpaceDE w:val="0"/>
        <w:autoSpaceDN w:val="0"/>
        <w:spacing w:line="400" w:lineRule="exact"/>
        <w:ind w:firstLineChars="200" w:firstLine="420"/>
        <w:jc w:val="left"/>
        <w:rPr>
          <w:rFonts w:ascii="宋体" w:eastAsia="宋体" w:hAnsi="宋体" w:cs="Times New Roman"/>
          <w:kern w:val="0"/>
          <w:szCs w:val="21"/>
        </w:rPr>
      </w:pPr>
      <w:r w:rsidRPr="003365D7">
        <w:rPr>
          <w:rFonts w:ascii="Times new roma" w:eastAsia="宋体" w:hAnsi="Times new roma" w:cs="Times New Roman" w:hint="eastAsia"/>
          <w:kern w:val="0"/>
          <w:szCs w:val="21"/>
        </w:rPr>
        <w:t>DBS</w:t>
      </w:r>
      <w:r w:rsidRPr="003365D7">
        <w:rPr>
          <w:rFonts w:ascii="宋体" w:eastAsia="宋体" w:hAnsi="宋体" w:cs="Times New Roman" w:hint="eastAsia"/>
          <w:kern w:val="0"/>
          <w:szCs w:val="21"/>
        </w:rPr>
        <w:t>42/ 010  湖北省食品安全地方标准 富硒食品中无机硒的测定方法</w:t>
      </w:r>
    </w:p>
    <w:p w14:paraId="0EAE045B" w14:textId="77777777" w:rsidR="003365D7" w:rsidRPr="003365D7" w:rsidRDefault="003365D7" w:rsidP="003365D7">
      <w:pPr>
        <w:widowControl/>
        <w:numPr>
          <w:ilvl w:val="0"/>
          <w:numId w:val="1"/>
        </w:numPr>
        <w:spacing w:beforeLines="100" w:before="240" w:afterLines="100" w:after="240"/>
        <w:outlineLvl w:val="1"/>
        <w:rPr>
          <w:rFonts w:ascii="宋体" w:eastAsia="黑体" w:hAnsi="宋体" w:cs="Times New Roman"/>
          <w:kern w:val="0"/>
          <w:szCs w:val="21"/>
        </w:rPr>
      </w:pPr>
      <w:r w:rsidRPr="003365D7">
        <w:rPr>
          <w:rFonts w:ascii="宋体" w:eastAsia="黑体" w:hAnsi="宋体" w:cs="Times New Roman" w:hint="eastAsia"/>
          <w:kern w:val="0"/>
          <w:szCs w:val="21"/>
        </w:rPr>
        <w:t>术语和定义</w:t>
      </w:r>
    </w:p>
    <w:p w14:paraId="44E9DDCA"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下列术语和定义适用于本文件。</w:t>
      </w:r>
    </w:p>
    <w:p w14:paraId="5AEE7A34" w14:textId="77777777" w:rsidR="003365D7" w:rsidRPr="003365D7" w:rsidRDefault="003365D7" w:rsidP="003365D7">
      <w:pPr>
        <w:widowControl/>
        <w:numPr>
          <w:ilvl w:val="1"/>
          <w:numId w:val="1"/>
        </w:numPr>
        <w:spacing w:beforeLines="50" w:before="120" w:afterLines="50" w:after="120"/>
        <w:jc w:val="left"/>
        <w:outlineLvl w:val="2"/>
        <w:rPr>
          <w:rFonts w:ascii="宋体" w:eastAsia="黑体" w:hAnsi="宋体" w:cs="Times New Roman"/>
          <w:kern w:val="0"/>
          <w:szCs w:val="21"/>
        </w:rPr>
      </w:pPr>
      <w:proofErr w:type="gramStart"/>
      <w:r w:rsidRPr="003365D7">
        <w:rPr>
          <w:rFonts w:ascii="宋体" w:eastAsia="黑体" w:hAnsi="宋体" w:cs="Times New Roman" w:hint="eastAsia"/>
          <w:kern w:val="0"/>
          <w:szCs w:val="21"/>
        </w:rPr>
        <w:t>富有机硒</w:t>
      </w:r>
      <w:proofErr w:type="gramEnd"/>
      <w:r w:rsidRPr="003365D7">
        <w:rPr>
          <w:rFonts w:ascii="宋体" w:eastAsia="黑体" w:hAnsi="宋体" w:cs="Times New Roman" w:hint="eastAsia"/>
          <w:kern w:val="0"/>
          <w:szCs w:val="21"/>
        </w:rPr>
        <w:t>食品</w:t>
      </w:r>
      <w:r w:rsidRPr="003365D7">
        <w:rPr>
          <w:rFonts w:ascii="宋体" w:eastAsia="黑体" w:hAnsi="宋体" w:cs="Times New Roman" w:hint="eastAsia"/>
          <w:kern w:val="0"/>
          <w:szCs w:val="21"/>
        </w:rPr>
        <w:t xml:space="preserve"> </w:t>
      </w:r>
    </w:p>
    <w:p w14:paraId="09D30558"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proofErr w:type="gramStart"/>
      <w:r w:rsidRPr="003365D7">
        <w:rPr>
          <w:rFonts w:ascii="宋体" w:eastAsia="宋体" w:hAnsi="宋体" w:cs="Times New Roman" w:hint="eastAsia"/>
          <w:kern w:val="0"/>
          <w:szCs w:val="21"/>
        </w:rPr>
        <w:t>总硒含量</w:t>
      </w:r>
      <w:proofErr w:type="gramEnd"/>
      <w:r w:rsidRPr="003365D7">
        <w:rPr>
          <w:rFonts w:ascii="宋体" w:eastAsia="宋体" w:hAnsi="宋体" w:cs="Times New Roman" w:hint="eastAsia"/>
          <w:kern w:val="0"/>
          <w:szCs w:val="21"/>
        </w:rPr>
        <w:t>达到本文件规定要求，且有机</w:t>
      </w:r>
      <w:proofErr w:type="gramStart"/>
      <w:r w:rsidRPr="003365D7">
        <w:rPr>
          <w:rFonts w:ascii="宋体" w:eastAsia="宋体" w:hAnsi="宋体" w:cs="Times New Roman" w:hint="eastAsia"/>
          <w:kern w:val="0"/>
          <w:szCs w:val="21"/>
        </w:rPr>
        <w:t>硒占总硒质量</w:t>
      </w:r>
      <w:proofErr w:type="gramEnd"/>
      <w:r w:rsidRPr="003365D7">
        <w:rPr>
          <w:rFonts w:ascii="宋体" w:eastAsia="宋体" w:hAnsi="宋体" w:cs="Times New Roman" w:hint="eastAsia"/>
          <w:kern w:val="0"/>
          <w:szCs w:val="21"/>
        </w:rPr>
        <w:t>百分比（以下简称“有机硒占比”）≥80%的食品。</w:t>
      </w:r>
    </w:p>
    <w:p w14:paraId="7F80BC62" w14:textId="77777777" w:rsidR="003365D7" w:rsidRPr="003365D7" w:rsidRDefault="003365D7" w:rsidP="003365D7">
      <w:pPr>
        <w:widowControl/>
        <w:numPr>
          <w:ilvl w:val="0"/>
          <w:numId w:val="1"/>
        </w:numPr>
        <w:spacing w:beforeLines="100" w:before="240" w:afterLines="100" w:after="240"/>
        <w:outlineLvl w:val="1"/>
        <w:rPr>
          <w:rFonts w:ascii="宋体" w:eastAsia="黑体" w:hAnsi="宋体" w:cs="Times New Roman"/>
          <w:kern w:val="0"/>
          <w:szCs w:val="21"/>
        </w:rPr>
      </w:pPr>
      <w:r w:rsidRPr="003365D7">
        <w:rPr>
          <w:rFonts w:ascii="宋体" w:eastAsia="黑体" w:hAnsi="宋体" w:cs="Times New Roman" w:hint="eastAsia"/>
          <w:kern w:val="0"/>
          <w:szCs w:val="21"/>
        </w:rPr>
        <w:t>硒含量要求</w:t>
      </w:r>
    </w:p>
    <w:p w14:paraId="08C7FD62"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本文件中仅规定了食品</w:t>
      </w:r>
      <w:proofErr w:type="gramStart"/>
      <w:r w:rsidRPr="003365D7">
        <w:rPr>
          <w:rFonts w:ascii="宋体" w:eastAsia="宋体" w:hAnsi="宋体" w:cs="Times New Roman" w:hint="eastAsia"/>
          <w:kern w:val="0"/>
          <w:szCs w:val="21"/>
        </w:rPr>
        <w:t>中总硒含量</w:t>
      </w:r>
      <w:proofErr w:type="gramEnd"/>
      <w:r w:rsidRPr="003365D7">
        <w:rPr>
          <w:rFonts w:ascii="宋体" w:eastAsia="宋体" w:hAnsi="宋体" w:cs="Times New Roman" w:hint="eastAsia"/>
          <w:kern w:val="0"/>
          <w:szCs w:val="21"/>
        </w:rPr>
        <w:t>、</w:t>
      </w:r>
      <w:proofErr w:type="gramStart"/>
      <w:r w:rsidRPr="003365D7">
        <w:rPr>
          <w:rFonts w:ascii="宋体" w:eastAsia="宋体" w:hAnsi="宋体" w:cs="Times New Roman" w:hint="eastAsia"/>
          <w:kern w:val="0"/>
          <w:szCs w:val="21"/>
        </w:rPr>
        <w:t>有机硒占比</w:t>
      </w:r>
      <w:proofErr w:type="gramEnd"/>
      <w:r w:rsidRPr="003365D7">
        <w:rPr>
          <w:rFonts w:ascii="宋体" w:eastAsia="宋体" w:hAnsi="宋体" w:cs="Times New Roman" w:hint="eastAsia"/>
          <w:kern w:val="0"/>
          <w:szCs w:val="21"/>
        </w:rPr>
        <w:t>的要求，其他指标应符合相应的食品安全国家标准的规定。</w:t>
      </w:r>
    </w:p>
    <w:p w14:paraId="7B503CCA" w14:textId="77777777" w:rsidR="003365D7" w:rsidRPr="003365D7" w:rsidRDefault="003365D7" w:rsidP="003365D7">
      <w:pPr>
        <w:widowControl/>
        <w:autoSpaceDE w:val="0"/>
        <w:autoSpaceDN w:val="0"/>
        <w:ind w:firstLineChars="200" w:firstLine="420"/>
        <w:rPr>
          <w:rFonts w:ascii="宋体" w:eastAsia="宋体" w:hAnsi="宋体" w:cs="Times New Roman"/>
          <w:kern w:val="0"/>
          <w:szCs w:val="21"/>
        </w:rPr>
      </w:pPr>
      <w:proofErr w:type="gramStart"/>
      <w:r w:rsidRPr="003365D7">
        <w:rPr>
          <w:rFonts w:ascii="宋体" w:eastAsia="宋体" w:hAnsi="宋体" w:cs="Times New Roman" w:hint="eastAsia"/>
          <w:kern w:val="0"/>
          <w:szCs w:val="21"/>
        </w:rPr>
        <w:t>总硒含量</w:t>
      </w:r>
      <w:proofErr w:type="gramEnd"/>
      <w:r w:rsidRPr="003365D7">
        <w:rPr>
          <w:rFonts w:ascii="宋体" w:eastAsia="宋体" w:hAnsi="宋体" w:cs="Times New Roman" w:hint="eastAsia"/>
          <w:kern w:val="0"/>
          <w:szCs w:val="21"/>
        </w:rPr>
        <w:t>、</w:t>
      </w:r>
      <w:proofErr w:type="gramStart"/>
      <w:r w:rsidRPr="003365D7">
        <w:rPr>
          <w:rFonts w:ascii="宋体" w:eastAsia="宋体" w:hAnsi="宋体" w:cs="Times New Roman" w:hint="eastAsia"/>
          <w:kern w:val="0"/>
          <w:szCs w:val="21"/>
        </w:rPr>
        <w:t>有机硒占比</w:t>
      </w:r>
      <w:proofErr w:type="gramEnd"/>
      <w:r w:rsidRPr="003365D7">
        <w:rPr>
          <w:rFonts w:ascii="宋体" w:eastAsia="宋体" w:hAnsi="宋体" w:cs="Times New Roman" w:hint="eastAsia"/>
          <w:kern w:val="0"/>
          <w:szCs w:val="21"/>
        </w:rPr>
        <w:t>应符合表1的要求。</w:t>
      </w:r>
    </w:p>
    <w:p w14:paraId="50390752" w14:textId="77777777" w:rsidR="003365D7" w:rsidRPr="003365D7" w:rsidRDefault="003365D7" w:rsidP="003365D7">
      <w:pPr>
        <w:widowControl/>
        <w:autoSpaceDE w:val="0"/>
        <w:autoSpaceDN w:val="0"/>
        <w:rPr>
          <w:rFonts w:ascii="宋体" w:eastAsia="宋体" w:hAnsi="宋体" w:cs="Times New Roman"/>
          <w:kern w:val="0"/>
          <w:szCs w:val="21"/>
        </w:rPr>
      </w:pPr>
    </w:p>
    <w:p w14:paraId="36DAAB08" w14:textId="77777777" w:rsidR="003365D7" w:rsidRPr="003365D7" w:rsidRDefault="003365D7" w:rsidP="003365D7">
      <w:pPr>
        <w:widowControl/>
        <w:autoSpaceDE w:val="0"/>
        <w:autoSpaceDN w:val="0"/>
        <w:rPr>
          <w:rFonts w:ascii="宋体" w:eastAsia="宋体" w:hAnsi="宋体" w:cs="Times New Roman"/>
          <w:kern w:val="0"/>
          <w:szCs w:val="21"/>
        </w:rPr>
      </w:pPr>
    </w:p>
    <w:p w14:paraId="7DE02E5D" w14:textId="77777777" w:rsidR="003365D7" w:rsidRPr="003365D7" w:rsidRDefault="003365D7" w:rsidP="003365D7">
      <w:pPr>
        <w:widowControl/>
        <w:autoSpaceDE w:val="0"/>
        <w:autoSpaceDN w:val="0"/>
        <w:rPr>
          <w:rFonts w:ascii="宋体" w:eastAsia="宋体" w:hAnsi="宋体" w:cs="Times New Roman"/>
          <w:kern w:val="0"/>
          <w:szCs w:val="21"/>
        </w:rPr>
      </w:pPr>
    </w:p>
    <w:p w14:paraId="1C5FAB89" w14:textId="77777777" w:rsidR="003365D7" w:rsidRPr="003365D7" w:rsidRDefault="003365D7" w:rsidP="003365D7">
      <w:pPr>
        <w:widowControl/>
        <w:autoSpaceDE w:val="0"/>
        <w:autoSpaceDN w:val="0"/>
        <w:rPr>
          <w:rFonts w:ascii="宋体" w:eastAsia="宋体" w:hAnsi="宋体" w:cs="Times New Roman"/>
          <w:kern w:val="0"/>
          <w:szCs w:val="21"/>
        </w:rPr>
      </w:pPr>
    </w:p>
    <w:p w14:paraId="1D446317" w14:textId="77777777" w:rsidR="003365D7" w:rsidRPr="003365D7" w:rsidRDefault="003365D7" w:rsidP="003365D7">
      <w:pPr>
        <w:widowControl/>
        <w:autoSpaceDE w:val="0"/>
        <w:autoSpaceDN w:val="0"/>
        <w:rPr>
          <w:rFonts w:ascii="宋体" w:eastAsia="宋体" w:hAnsi="宋体" w:cs="Times New Roman"/>
          <w:kern w:val="0"/>
          <w:szCs w:val="21"/>
        </w:rPr>
      </w:pPr>
    </w:p>
    <w:p w14:paraId="639A254C" w14:textId="77777777" w:rsidR="003365D7" w:rsidRPr="003365D7" w:rsidRDefault="003365D7" w:rsidP="003365D7">
      <w:pPr>
        <w:widowControl/>
        <w:autoSpaceDE w:val="0"/>
        <w:autoSpaceDN w:val="0"/>
        <w:rPr>
          <w:rFonts w:ascii="宋体" w:eastAsia="宋体" w:hAnsi="宋体" w:cs="Times New Roman"/>
          <w:kern w:val="0"/>
          <w:szCs w:val="21"/>
        </w:rPr>
      </w:pPr>
    </w:p>
    <w:p w14:paraId="2B95BA70" w14:textId="77777777" w:rsidR="003365D7" w:rsidRPr="003365D7" w:rsidRDefault="003365D7" w:rsidP="003365D7">
      <w:pPr>
        <w:widowControl/>
        <w:numPr>
          <w:ilvl w:val="0"/>
          <w:numId w:val="2"/>
        </w:numPr>
        <w:spacing w:beforeLines="50" w:before="120" w:afterLines="50" w:after="120"/>
        <w:jc w:val="center"/>
        <w:rPr>
          <w:rFonts w:ascii="宋体" w:eastAsia="黑体" w:hAnsi="宋体" w:cs="Times New Roman"/>
          <w:kern w:val="0"/>
          <w:szCs w:val="21"/>
        </w:rPr>
      </w:pPr>
      <w:proofErr w:type="gramStart"/>
      <w:r w:rsidRPr="003365D7">
        <w:rPr>
          <w:rFonts w:ascii="宋体" w:eastAsia="黑体" w:hAnsi="宋体" w:cs="Times New Roman" w:hint="eastAsia"/>
          <w:kern w:val="0"/>
          <w:szCs w:val="21"/>
        </w:rPr>
        <w:lastRenderedPageBreak/>
        <w:t>总硒含量</w:t>
      </w:r>
      <w:proofErr w:type="gramEnd"/>
      <w:r w:rsidRPr="003365D7">
        <w:rPr>
          <w:rFonts w:ascii="宋体" w:eastAsia="黑体" w:hAnsi="宋体" w:cs="Times New Roman" w:hint="eastAsia"/>
          <w:kern w:val="0"/>
          <w:szCs w:val="21"/>
        </w:rPr>
        <w:t>、</w:t>
      </w:r>
      <w:proofErr w:type="gramStart"/>
      <w:r w:rsidRPr="003365D7">
        <w:rPr>
          <w:rFonts w:ascii="宋体" w:eastAsia="黑体" w:hAnsi="宋体" w:cs="Times New Roman" w:hint="eastAsia"/>
          <w:kern w:val="0"/>
          <w:szCs w:val="21"/>
        </w:rPr>
        <w:t>有机硒占比</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3"/>
        <w:gridCol w:w="2954"/>
        <w:gridCol w:w="2113"/>
      </w:tblGrid>
      <w:tr w:rsidR="003365D7" w:rsidRPr="003365D7" w14:paraId="5CDE9C4A" w14:textId="77777777" w:rsidTr="00CE5AEB">
        <w:trPr>
          <w:trHeight w:val="340"/>
        </w:trPr>
        <w:tc>
          <w:tcPr>
            <w:tcW w:w="2204" w:type="pct"/>
            <w:vMerge w:val="restart"/>
            <w:tcBorders>
              <w:top w:val="single" w:sz="4" w:space="0" w:color="auto"/>
              <w:left w:val="single" w:sz="4" w:space="0" w:color="auto"/>
              <w:bottom w:val="single" w:sz="4" w:space="0" w:color="auto"/>
              <w:right w:val="single" w:sz="4" w:space="0" w:color="auto"/>
            </w:tcBorders>
            <w:vAlign w:val="center"/>
          </w:tcPr>
          <w:p w14:paraId="2A1E2EC2"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食品类别</w:t>
            </w:r>
          </w:p>
        </w:tc>
        <w:tc>
          <w:tcPr>
            <w:tcW w:w="2796" w:type="pct"/>
            <w:gridSpan w:val="2"/>
            <w:tcBorders>
              <w:top w:val="single" w:sz="4" w:space="0" w:color="auto"/>
              <w:left w:val="nil"/>
              <w:bottom w:val="single" w:sz="4" w:space="0" w:color="auto"/>
              <w:right w:val="single" w:sz="4" w:space="0" w:color="auto"/>
            </w:tcBorders>
            <w:vAlign w:val="center"/>
          </w:tcPr>
          <w:p w14:paraId="62F49AAC"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指标</w:t>
            </w:r>
          </w:p>
        </w:tc>
      </w:tr>
      <w:tr w:rsidR="003365D7" w:rsidRPr="003365D7" w14:paraId="2F5996E5" w14:textId="77777777" w:rsidTr="00CE5AEB">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631E9A9F" w14:textId="77777777" w:rsidR="003365D7" w:rsidRPr="003365D7" w:rsidRDefault="003365D7" w:rsidP="003365D7">
            <w:pPr>
              <w:widowControl/>
              <w:jc w:val="left"/>
              <w:rPr>
                <w:rFonts w:ascii="宋体" w:eastAsia="宋体" w:hAnsi="宋体" w:cs="Times New Roman"/>
                <w:kern w:val="0"/>
                <w:szCs w:val="24"/>
              </w:rPr>
            </w:pPr>
          </w:p>
        </w:tc>
        <w:tc>
          <w:tcPr>
            <w:tcW w:w="1630" w:type="pct"/>
            <w:tcBorders>
              <w:top w:val="single" w:sz="4" w:space="0" w:color="auto"/>
              <w:left w:val="nil"/>
              <w:bottom w:val="single" w:sz="4" w:space="0" w:color="auto"/>
              <w:right w:val="single" w:sz="4" w:space="0" w:color="auto"/>
            </w:tcBorders>
            <w:vAlign w:val="center"/>
          </w:tcPr>
          <w:p w14:paraId="281EBA80"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总硒（以</w:t>
            </w:r>
            <w:r w:rsidRPr="003365D7">
              <w:rPr>
                <w:rFonts w:ascii="Times new roma" w:eastAsia="宋体" w:hAnsi="Times new roma" w:cs="Times New Roman" w:hint="eastAsia"/>
                <w:kern w:val="0"/>
                <w:szCs w:val="21"/>
              </w:rPr>
              <w:t>Se</w:t>
            </w:r>
            <w:r w:rsidRPr="003365D7">
              <w:rPr>
                <w:rFonts w:ascii="宋体" w:eastAsia="宋体" w:hAnsi="宋体" w:cs="Times New Roman" w:hint="eastAsia"/>
                <w:kern w:val="0"/>
                <w:szCs w:val="21"/>
              </w:rPr>
              <w:t>计）</w:t>
            </w:r>
          </w:p>
          <w:p w14:paraId="3DE59A31" w14:textId="77777777" w:rsidR="003365D7" w:rsidRPr="003365D7" w:rsidRDefault="003365D7" w:rsidP="003365D7">
            <w:pPr>
              <w:widowControl/>
              <w:autoSpaceDE w:val="0"/>
              <w:autoSpaceDN w:val="0"/>
              <w:jc w:val="center"/>
              <w:rPr>
                <w:rFonts w:ascii="宋体" w:eastAsia="宋体" w:hAnsi="宋体" w:cs="Times New Roman"/>
                <w:kern w:val="0"/>
                <w:szCs w:val="21"/>
              </w:rPr>
            </w:pPr>
            <w:proofErr w:type="spellStart"/>
            <w:r w:rsidRPr="003365D7">
              <w:rPr>
                <w:rFonts w:ascii="Times new roma" w:eastAsia="宋体" w:hAnsi="Times new roma" w:cs="Times New Roman"/>
                <w:kern w:val="0"/>
                <w:szCs w:val="21"/>
              </w:rPr>
              <w:t>μ</w:t>
            </w:r>
            <w:r w:rsidRPr="003365D7">
              <w:rPr>
                <w:rFonts w:ascii="Times new roma" w:eastAsia="宋体" w:hAnsi="Times new roma" w:cs="Times New Roman" w:hint="eastAsia"/>
                <w:kern w:val="0"/>
                <w:szCs w:val="21"/>
              </w:rPr>
              <w:t>g</w:t>
            </w:r>
            <w:proofErr w:type="spellEnd"/>
            <w:r w:rsidRPr="003365D7">
              <w:rPr>
                <w:rFonts w:ascii="宋体" w:eastAsia="宋体" w:hAnsi="宋体" w:cs="Times New Roman" w:hint="eastAsia"/>
                <w:kern w:val="0"/>
                <w:szCs w:val="21"/>
              </w:rPr>
              <w:t>/100</w:t>
            </w:r>
            <w:r w:rsidRPr="003365D7">
              <w:rPr>
                <w:rFonts w:ascii="Times new roma" w:eastAsia="宋体" w:hAnsi="Times new roma" w:cs="Times New Roman" w:hint="eastAsia"/>
                <w:kern w:val="0"/>
                <w:szCs w:val="21"/>
              </w:rPr>
              <w:t>g</w:t>
            </w:r>
          </w:p>
        </w:tc>
        <w:tc>
          <w:tcPr>
            <w:tcW w:w="1166" w:type="pct"/>
            <w:tcBorders>
              <w:top w:val="single" w:sz="4" w:space="0" w:color="auto"/>
              <w:left w:val="nil"/>
              <w:bottom w:val="single" w:sz="4" w:space="0" w:color="auto"/>
              <w:right w:val="single" w:sz="4" w:space="0" w:color="auto"/>
            </w:tcBorders>
            <w:vAlign w:val="center"/>
          </w:tcPr>
          <w:p w14:paraId="2C590D8A" w14:textId="77777777" w:rsidR="003365D7" w:rsidRPr="003365D7" w:rsidRDefault="003365D7" w:rsidP="003365D7">
            <w:pPr>
              <w:ind w:left="544"/>
              <w:rPr>
                <w:rFonts w:ascii="宋体" w:eastAsia="宋体" w:hAnsi="宋体" w:cs="Times New Roman"/>
                <w:szCs w:val="24"/>
              </w:rPr>
            </w:pPr>
            <w:proofErr w:type="gramStart"/>
            <w:r w:rsidRPr="003365D7">
              <w:rPr>
                <w:rFonts w:ascii="宋体" w:eastAsia="宋体" w:hAnsi="宋体" w:cs="Times New Roman" w:hint="eastAsia"/>
                <w:szCs w:val="24"/>
              </w:rPr>
              <w:t>有机硒占比</w:t>
            </w:r>
            <w:proofErr w:type="gramEnd"/>
            <w:r w:rsidRPr="003365D7">
              <w:rPr>
                <w:rFonts w:ascii="Times new roma" w:eastAsia="宋体" w:hAnsi="Times new roma" w:cs="Times New Roman" w:hint="eastAsia"/>
                <w:szCs w:val="24"/>
                <w:vertAlign w:val="superscript"/>
              </w:rPr>
              <w:t>a</w:t>
            </w:r>
          </w:p>
          <w:p w14:paraId="6F692266"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w:t>
            </w:r>
          </w:p>
        </w:tc>
      </w:tr>
      <w:tr w:rsidR="003365D7" w:rsidRPr="003365D7" w14:paraId="535FF61A" w14:textId="77777777" w:rsidTr="00CE5AEB">
        <w:trPr>
          <w:trHeight w:val="340"/>
        </w:trPr>
        <w:tc>
          <w:tcPr>
            <w:tcW w:w="2204" w:type="pct"/>
            <w:tcBorders>
              <w:top w:val="single" w:sz="4" w:space="0" w:color="auto"/>
              <w:left w:val="single" w:sz="4" w:space="0" w:color="auto"/>
              <w:bottom w:val="single" w:sz="4" w:space="0" w:color="auto"/>
              <w:right w:val="single" w:sz="4" w:space="0" w:color="auto"/>
            </w:tcBorders>
            <w:vAlign w:val="center"/>
          </w:tcPr>
          <w:p w14:paraId="1AFEA224"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谷物及其制品</w:t>
            </w:r>
          </w:p>
        </w:tc>
        <w:tc>
          <w:tcPr>
            <w:tcW w:w="1630" w:type="pct"/>
            <w:tcBorders>
              <w:top w:val="single" w:sz="4" w:space="0" w:color="auto"/>
              <w:left w:val="nil"/>
              <w:bottom w:val="single" w:sz="4" w:space="0" w:color="auto"/>
              <w:right w:val="single" w:sz="4" w:space="0" w:color="auto"/>
            </w:tcBorders>
            <w:vAlign w:val="center"/>
          </w:tcPr>
          <w:p w14:paraId="359EF57A"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20.0～50.0</w:t>
            </w:r>
          </w:p>
        </w:tc>
        <w:tc>
          <w:tcPr>
            <w:tcW w:w="1166" w:type="pct"/>
            <w:vMerge w:val="restart"/>
            <w:tcBorders>
              <w:top w:val="nil"/>
              <w:left w:val="nil"/>
              <w:bottom w:val="single" w:sz="4" w:space="0" w:color="auto"/>
              <w:right w:val="single" w:sz="4" w:space="0" w:color="auto"/>
            </w:tcBorders>
            <w:vAlign w:val="center"/>
          </w:tcPr>
          <w:p w14:paraId="2E3C1E37"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≥80</w:t>
            </w:r>
          </w:p>
        </w:tc>
      </w:tr>
      <w:tr w:rsidR="003365D7" w:rsidRPr="003365D7" w14:paraId="795B5E22" w14:textId="77777777" w:rsidTr="00CE5AEB">
        <w:trPr>
          <w:trHeight w:val="340"/>
        </w:trPr>
        <w:tc>
          <w:tcPr>
            <w:tcW w:w="2204" w:type="pct"/>
            <w:tcBorders>
              <w:top w:val="single" w:sz="4" w:space="0" w:color="auto"/>
              <w:left w:val="single" w:sz="4" w:space="0" w:color="auto"/>
              <w:bottom w:val="nil"/>
              <w:right w:val="single" w:sz="4" w:space="0" w:color="auto"/>
            </w:tcBorders>
            <w:vAlign w:val="center"/>
          </w:tcPr>
          <w:p w14:paraId="23712049"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蔬菜及其制品</w:t>
            </w:r>
          </w:p>
        </w:tc>
        <w:tc>
          <w:tcPr>
            <w:tcW w:w="1630" w:type="pct"/>
            <w:tcBorders>
              <w:top w:val="single" w:sz="4" w:space="0" w:color="auto"/>
              <w:left w:val="nil"/>
              <w:bottom w:val="nil"/>
              <w:right w:val="single" w:sz="4" w:space="0" w:color="auto"/>
            </w:tcBorders>
            <w:vAlign w:val="center"/>
          </w:tcPr>
          <w:p w14:paraId="45F04605" w14:textId="77777777" w:rsidR="003365D7" w:rsidRPr="003365D7" w:rsidRDefault="003365D7" w:rsidP="003365D7">
            <w:pPr>
              <w:widowControl/>
              <w:autoSpaceDE w:val="0"/>
              <w:autoSpaceDN w:val="0"/>
              <w:jc w:val="center"/>
              <w:rPr>
                <w:rFonts w:ascii="宋体" w:eastAsia="宋体" w:hAnsi="宋体" w:cs="Times New Roman"/>
                <w:kern w:val="0"/>
                <w:szCs w:val="21"/>
              </w:rPr>
            </w:pPr>
          </w:p>
        </w:tc>
        <w:tc>
          <w:tcPr>
            <w:tcW w:w="0" w:type="auto"/>
            <w:vMerge/>
            <w:tcBorders>
              <w:top w:val="nil"/>
              <w:left w:val="nil"/>
              <w:bottom w:val="single" w:sz="4" w:space="0" w:color="auto"/>
              <w:right w:val="single" w:sz="4" w:space="0" w:color="auto"/>
            </w:tcBorders>
            <w:vAlign w:val="center"/>
          </w:tcPr>
          <w:p w14:paraId="2DBAFBD1"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287A8A5C" w14:textId="77777777" w:rsidTr="00CE5AEB">
        <w:trPr>
          <w:trHeight w:val="340"/>
        </w:trPr>
        <w:tc>
          <w:tcPr>
            <w:tcW w:w="2204" w:type="pct"/>
            <w:tcBorders>
              <w:top w:val="nil"/>
              <w:left w:val="single" w:sz="4" w:space="0" w:color="auto"/>
              <w:bottom w:val="nil"/>
              <w:right w:val="single" w:sz="4" w:space="0" w:color="auto"/>
            </w:tcBorders>
            <w:vAlign w:val="center"/>
          </w:tcPr>
          <w:p w14:paraId="41373D0E"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薯类及其制品</w:t>
            </w:r>
          </w:p>
        </w:tc>
        <w:tc>
          <w:tcPr>
            <w:tcW w:w="1630" w:type="pct"/>
            <w:tcBorders>
              <w:top w:val="nil"/>
              <w:left w:val="nil"/>
              <w:bottom w:val="nil"/>
              <w:right w:val="single" w:sz="4" w:space="0" w:color="auto"/>
            </w:tcBorders>
            <w:vAlign w:val="center"/>
          </w:tcPr>
          <w:p w14:paraId="7F2E21EA"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20.0～100.0</w:t>
            </w:r>
          </w:p>
        </w:tc>
        <w:tc>
          <w:tcPr>
            <w:tcW w:w="0" w:type="auto"/>
            <w:vMerge/>
            <w:tcBorders>
              <w:top w:val="nil"/>
              <w:left w:val="nil"/>
              <w:bottom w:val="single" w:sz="4" w:space="0" w:color="auto"/>
              <w:right w:val="single" w:sz="4" w:space="0" w:color="auto"/>
            </w:tcBorders>
            <w:vAlign w:val="center"/>
          </w:tcPr>
          <w:p w14:paraId="27D81A6D"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6FE31BDE" w14:textId="77777777" w:rsidTr="00CE5AEB">
        <w:trPr>
          <w:trHeight w:val="340"/>
        </w:trPr>
        <w:tc>
          <w:tcPr>
            <w:tcW w:w="2204" w:type="pct"/>
            <w:tcBorders>
              <w:top w:val="nil"/>
              <w:left w:val="single" w:sz="4" w:space="0" w:color="auto"/>
              <w:bottom w:val="nil"/>
              <w:right w:val="single" w:sz="4" w:space="0" w:color="auto"/>
            </w:tcBorders>
            <w:vAlign w:val="center"/>
          </w:tcPr>
          <w:p w14:paraId="001ABF32"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大蒜、西兰花、甘蓝</w:t>
            </w:r>
          </w:p>
        </w:tc>
        <w:tc>
          <w:tcPr>
            <w:tcW w:w="1630" w:type="pct"/>
            <w:tcBorders>
              <w:top w:val="nil"/>
              <w:left w:val="nil"/>
              <w:bottom w:val="nil"/>
              <w:right w:val="single" w:sz="4" w:space="0" w:color="auto"/>
            </w:tcBorders>
            <w:vAlign w:val="center"/>
          </w:tcPr>
          <w:p w14:paraId="1D25977D"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20.0～200.0</w:t>
            </w:r>
          </w:p>
        </w:tc>
        <w:tc>
          <w:tcPr>
            <w:tcW w:w="0" w:type="auto"/>
            <w:vMerge/>
            <w:tcBorders>
              <w:top w:val="nil"/>
              <w:left w:val="nil"/>
              <w:bottom w:val="single" w:sz="4" w:space="0" w:color="auto"/>
              <w:right w:val="single" w:sz="4" w:space="0" w:color="auto"/>
            </w:tcBorders>
            <w:vAlign w:val="center"/>
          </w:tcPr>
          <w:p w14:paraId="46316456"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10BD8CA3" w14:textId="77777777" w:rsidTr="00CE5AEB">
        <w:trPr>
          <w:trHeight w:val="340"/>
        </w:trPr>
        <w:tc>
          <w:tcPr>
            <w:tcW w:w="2204" w:type="pct"/>
            <w:tcBorders>
              <w:top w:val="nil"/>
              <w:left w:val="single" w:sz="4" w:space="0" w:color="auto"/>
              <w:bottom w:val="single" w:sz="4" w:space="0" w:color="auto"/>
              <w:right w:val="single" w:sz="4" w:space="0" w:color="auto"/>
            </w:tcBorders>
            <w:vAlign w:val="center"/>
          </w:tcPr>
          <w:p w14:paraId="76B111AD"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其他蔬菜及其制品</w:t>
            </w:r>
          </w:p>
        </w:tc>
        <w:tc>
          <w:tcPr>
            <w:tcW w:w="1630" w:type="pct"/>
            <w:tcBorders>
              <w:top w:val="nil"/>
              <w:left w:val="nil"/>
              <w:bottom w:val="single" w:sz="4" w:space="0" w:color="auto"/>
              <w:right w:val="single" w:sz="4" w:space="0" w:color="auto"/>
            </w:tcBorders>
            <w:vAlign w:val="center"/>
          </w:tcPr>
          <w:p w14:paraId="020007C6"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20.0～50.0</w:t>
            </w:r>
          </w:p>
        </w:tc>
        <w:tc>
          <w:tcPr>
            <w:tcW w:w="0" w:type="auto"/>
            <w:vMerge/>
            <w:tcBorders>
              <w:top w:val="nil"/>
              <w:left w:val="nil"/>
              <w:bottom w:val="single" w:sz="4" w:space="0" w:color="auto"/>
              <w:right w:val="single" w:sz="4" w:space="0" w:color="auto"/>
            </w:tcBorders>
            <w:vAlign w:val="center"/>
          </w:tcPr>
          <w:p w14:paraId="5636D606"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44E46EFC" w14:textId="77777777" w:rsidTr="00CE5AEB">
        <w:trPr>
          <w:trHeight w:val="340"/>
        </w:trPr>
        <w:tc>
          <w:tcPr>
            <w:tcW w:w="2204" w:type="pct"/>
            <w:tcBorders>
              <w:top w:val="single" w:sz="4" w:space="0" w:color="auto"/>
              <w:left w:val="single" w:sz="4" w:space="0" w:color="auto"/>
              <w:bottom w:val="single" w:sz="4" w:space="0" w:color="auto"/>
              <w:right w:val="single" w:sz="4" w:space="0" w:color="auto"/>
            </w:tcBorders>
            <w:vAlign w:val="center"/>
          </w:tcPr>
          <w:p w14:paraId="52C8F546"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水果及其制品</w:t>
            </w:r>
          </w:p>
        </w:tc>
        <w:tc>
          <w:tcPr>
            <w:tcW w:w="1630" w:type="pct"/>
            <w:tcBorders>
              <w:top w:val="single" w:sz="4" w:space="0" w:color="auto"/>
              <w:left w:val="nil"/>
              <w:bottom w:val="single" w:sz="4" w:space="0" w:color="auto"/>
              <w:right w:val="single" w:sz="4" w:space="0" w:color="auto"/>
            </w:tcBorders>
            <w:vAlign w:val="center"/>
          </w:tcPr>
          <w:p w14:paraId="027650C8"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20.0～50.0</w:t>
            </w:r>
          </w:p>
        </w:tc>
        <w:tc>
          <w:tcPr>
            <w:tcW w:w="0" w:type="auto"/>
            <w:vMerge/>
            <w:tcBorders>
              <w:top w:val="nil"/>
              <w:left w:val="nil"/>
              <w:bottom w:val="single" w:sz="4" w:space="0" w:color="auto"/>
              <w:right w:val="single" w:sz="4" w:space="0" w:color="auto"/>
            </w:tcBorders>
            <w:vAlign w:val="center"/>
          </w:tcPr>
          <w:p w14:paraId="1005ADAD"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495BD5CA" w14:textId="77777777" w:rsidTr="00CE5AEB">
        <w:trPr>
          <w:trHeight w:val="340"/>
        </w:trPr>
        <w:tc>
          <w:tcPr>
            <w:tcW w:w="2204" w:type="pct"/>
            <w:tcBorders>
              <w:top w:val="single" w:sz="4" w:space="0" w:color="auto"/>
              <w:left w:val="single" w:sz="4" w:space="0" w:color="auto"/>
              <w:bottom w:val="single" w:sz="4" w:space="0" w:color="auto"/>
              <w:right w:val="single" w:sz="4" w:space="0" w:color="auto"/>
            </w:tcBorders>
            <w:vAlign w:val="center"/>
          </w:tcPr>
          <w:p w14:paraId="0A829FAD"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食用菌及其制品</w:t>
            </w:r>
          </w:p>
        </w:tc>
        <w:tc>
          <w:tcPr>
            <w:tcW w:w="1630" w:type="pct"/>
            <w:tcBorders>
              <w:top w:val="single" w:sz="4" w:space="0" w:color="auto"/>
              <w:left w:val="nil"/>
              <w:bottom w:val="single" w:sz="4" w:space="0" w:color="auto"/>
              <w:right w:val="single" w:sz="4" w:space="0" w:color="auto"/>
            </w:tcBorders>
            <w:vAlign w:val="center"/>
          </w:tcPr>
          <w:p w14:paraId="5034796D"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20.0～100.0</w:t>
            </w:r>
          </w:p>
        </w:tc>
        <w:tc>
          <w:tcPr>
            <w:tcW w:w="0" w:type="auto"/>
            <w:vMerge/>
            <w:tcBorders>
              <w:top w:val="nil"/>
              <w:left w:val="nil"/>
              <w:bottom w:val="single" w:sz="4" w:space="0" w:color="auto"/>
              <w:right w:val="single" w:sz="4" w:space="0" w:color="auto"/>
            </w:tcBorders>
            <w:vAlign w:val="center"/>
          </w:tcPr>
          <w:p w14:paraId="082332AD"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24AC98EB" w14:textId="77777777" w:rsidTr="00CE5AEB">
        <w:trPr>
          <w:trHeight w:val="340"/>
        </w:trPr>
        <w:tc>
          <w:tcPr>
            <w:tcW w:w="2204" w:type="pct"/>
            <w:tcBorders>
              <w:top w:val="single" w:sz="4" w:space="0" w:color="auto"/>
              <w:left w:val="single" w:sz="4" w:space="0" w:color="auto"/>
              <w:bottom w:val="single" w:sz="4" w:space="0" w:color="auto"/>
              <w:right w:val="single" w:sz="4" w:space="0" w:color="auto"/>
            </w:tcBorders>
            <w:vAlign w:val="center"/>
          </w:tcPr>
          <w:p w14:paraId="63257009"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豆类及其制品</w:t>
            </w:r>
          </w:p>
        </w:tc>
        <w:tc>
          <w:tcPr>
            <w:tcW w:w="1630" w:type="pct"/>
            <w:tcBorders>
              <w:top w:val="single" w:sz="4" w:space="0" w:color="auto"/>
              <w:left w:val="nil"/>
              <w:bottom w:val="single" w:sz="4" w:space="0" w:color="auto"/>
              <w:right w:val="single" w:sz="4" w:space="0" w:color="auto"/>
            </w:tcBorders>
            <w:vAlign w:val="center"/>
          </w:tcPr>
          <w:p w14:paraId="2E47F851"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20.0～200.0</w:t>
            </w:r>
          </w:p>
        </w:tc>
        <w:tc>
          <w:tcPr>
            <w:tcW w:w="0" w:type="auto"/>
            <w:vMerge/>
            <w:tcBorders>
              <w:top w:val="nil"/>
              <w:left w:val="nil"/>
              <w:bottom w:val="single" w:sz="4" w:space="0" w:color="auto"/>
              <w:right w:val="single" w:sz="4" w:space="0" w:color="auto"/>
            </w:tcBorders>
            <w:vAlign w:val="center"/>
          </w:tcPr>
          <w:p w14:paraId="1A0DF63F"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76DB61B0" w14:textId="77777777" w:rsidTr="00CE5AEB">
        <w:trPr>
          <w:trHeight w:val="340"/>
        </w:trPr>
        <w:tc>
          <w:tcPr>
            <w:tcW w:w="2204" w:type="pct"/>
            <w:tcBorders>
              <w:top w:val="single" w:sz="4" w:space="0" w:color="auto"/>
              <w:left w:val="single" w:sz="4" w:space="0" w:color="auto"/>
              <w:bottom w:val="single" w:sz="4" w:space="0" w:color="auto"/>
              <w:right w:val="single" w:sz="4" w:space="0" w:color="auto"/>
            </w:tcBorders>
            <w:vAlign w:val="center"/>
          </w:tcPr>
          <w:p w14:paraId="0C733489"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茶叶、代用茶、茶制品</w:t>
            </w:r>
          </w:p>
        </w:tc>
        <w:tc>
          <w:tcPr>
            <w:tcW w:w="1630" w:type="pct"/>
            <w:tcBorders>
              <w:top w:val="single" w:sz="4" w:space="0" w:color="auto"/>
              <w:left w:val="nil"/>
              <w:bottom w:val="single" w:sz="4" w:space="0" w:color="auto"/>
              <w:right w:val="single" w:sz="4" w:space="0" w:color="auto"/>
            </w:tcBorders>
            <w:vAlign w:val="center"/>
          </w:tcPr>
          <w:p w14:paraId="3AB311FC"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20.0～500.0</w:t>
            </w:r>
          </w:p>
        </w:tc>
        <w:tc>
          <w:tcPr>
            <w:tcW w:w="0" w:type="auto"/>
            <w:vMerge/>
            <w:tcBorders>
              <w:top w:val="nil"/>
              <w:left w:val="nil"/>
              <w:bottom w:val="single" w:sz="4" w:space="0" w:color="auto"/>
              <w:right w:val="single" w:sz="4" w:space="0" w:color="auto"/>
            </w:tcBorders>
            <w:vAlign w:val="center"/>
          </w:tcPr>
          <w:p w14:paraId="02C5BC74"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0587667F" w14:textId="77777777" w:rsidTr="00CE5AEB">
        <w:trPr>
          <w:trHeight w:val="340"/>
        </w:trPr>
        <w:tc>
          <w:tcPr>
            <w:tcW w:w="2204" w:type="pct"/>
            <w:tcBorders>
              <w:top w:val="single" w:sz="4" w:space="0" w:color="auto"/>
              <w:left w:val="single" w:sz="4" w:space="0" w:color="auto"/>
              <w:bottom w:val="nil"/>
              <w:right w:val="single" w:sz="4" w:space="0" w:color="auto"/>
            </w:tcBorders>
            <w:vAlign w:val="center"/>
          </w:tcPr>
          <w:p w14:paraId="593F9BF1"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肉及肉制品</w:t>
            </w:r>
          </w:p>
        </w:tc>
        <w:tc>
          <w:tcPr>
            <w:tcW w:w="1630" w:type="pct"/>
            <w:tcBorders>
              <w:top w:val="single" w:sz="4" w:space="0" w:color="auto"/>
              <w:left w:val="nil"/>
              <w:bottom w:val="nil"/>
              <w:right w:val="single" w:sz="4" w:space="0" w:color="auto"/>
            </w:tcBorders>
            <w:vAlign w:val="center"/>
          </w:tcPr>
          <w:p w14:paraId="784E58D2" w14:textId="77777777" w:rsidR="003365D7" w:rsidRPr="003365D7" w:rsidRDefault="003365D7" w:rsidP="003365D7">
            <w:pPr>
              <w:widowControl/>
              <w:autoSpaceDE w:val="0"/>
              <w:autoSpaceDN w:val="0"/>
              <w:jc w:val="center"/>
              <w:rPr>
                <w:rFonts w:ascii="宋体" w:eastAsia="宋体" w:hAnsi="宋体" w:cs="Times New Roman"/>
                <w:kern w:val="0"/>
                <w:szCs w:val="21"/>
              </w:rPr>
            </w:pPr>
          </w:p>
        </w:tc>
        <w:tc>
          <w:tcPr>
            <w:tcW w:w="0" w:type="auto"/>
            <w:vMerge/>
            <w:tcBorders>
              <w:top w:val="nil"/>
              <w:left w:val="nil"/>
              <w:bottom w:val="single" w:sz="4" w:space="0" w:color="auto"/>
              <w:right w:val="single" w:sz="4" w:space="0" w:color="auto"/>
            </w:tcBorders>
            <w:vAlign w:val="center"/>
          </w:tcPr>
          <w:p w14:paraId="70B25C2F"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0FDA1E37" w14:textId="77777777" w:rsidTr="00CE5AEB">
        <w:trPr>
          <w:trHeight w:val="340"/>
        </w:trPr>
        <w:tc>
          <w:tcPr>
            <w:tcW w:w="2204" w:type="pct"/>
            <w:tcBorders>
              <w:top w:val="nil"/>
              <w:left w:val="single" w:sz="4" w:space="0" w:color="auto"/>
              <w:bottom w:val="nil"/>
              <w:right w:val="single" w:sz="4" w:space="0" w:color="auto"/>
            </w:tcBorders>
            <w:vAlign w:val="center"/>
          </w:tcPr>
          <w:p w14:paraId="3673CD82"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鲜、冻肉及其制品</w:t>
            </w:r>
          </w:p>
        </w:tc>
        <w:tc>
          <w:tcPr>
            <w:tcW w:w="1630" w:type="pct"/>
            <w:tcBorders>
              <w:top w:val="nil"/>
              <w:left w:val="nil"/>
              <w:bottom w:val="nil"/>
              <w:right w:val="single" w:sz="4" w:space="0" w:color="auto"/>
            </w:tcBorders>
            <w:vAlign w:val="center"/>
          </w:tcPr>
          <w:p w14:paraId="139FD6FC"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20.0～100.0</w:t>
            </w:r>
          </w:p>
        </w:tc>
        <w:tc>
          <w:tcPr>
            <w:tcW w:w="0" w:type="auto"/>
            <w:vMerge/>
            <w:tcBorders>
              <w:top w:val="nil"/>
              <w:left w:val="nil"/>
              <w:bottom w:val="single" w:sz="4" w:space="0" w:color="auto"/>
              <w:right w:val="single" w:sz="4" w:space="0" w:color="auto"/>
            </w:tcBorders>
            <w:vAlign w:val="center"/>
          </w:tcPr>
          <w:p w14:paraId="76074474"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3F564A49" w14:textId="77777777" w:rsidTr="00CE5AEB">
        <w:trPr>
          <w:trHeight w:val="340"/>
        </w:trPr>
        <w:tc>
          <w:tcPr>
            <w:tcW w:w="2204" w:type="pct"/>
            <w:tcBorders>
              <w:top w:val="nil"/>
              <w:left w:val="single" w:sz="4" w:space="0" w:color="auto"/>
              <w:bottom w:val="single" w:sz="4" w:space="0" w:color="auto"/>
              <w:right w:val="single" w:sz="4" w:space="0" w:color="auto"/>
            </w:tcBorders>
            <w:vAlign w:val="center"/>
          </w:tcPr>
          <w:p w14:paraId="3DC5D210"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 xml:space="preserve">畜、禽内脏 </w:t>
            </w:r>
          </w:p>
        </w:tc>
        <w:tc>
          <w:tcPr>
            <w:tcW w:w="1630" w:type="pct"/>
            <w:tcBorders>
              <w:top w:val="nil"/>
              <w:left w:val="nil"/>
              <w:bottom w:val="single" w:sz="4" w:space="0" w:color="auto"/>
              <w:right w:val="single" w:sz="4" w:space="0" w:color="auto"/>
            </w:tcBorders>
            <w:vAlign w:val="center"/>
          </w:tcPr>
          <w:p w14:paraId="69187E7C"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20.0～200.0</w:t>
            </w:r>
          </w:p>
        </w:tc>
        <w:tc>
          <w:tcPr>
            <w:tcW w:w="0" w:type="auto"/>
            <w:vMerge/>
            <w:tcBorders>
              <w:top w:val="nil"/>
              <w:left w:val="nil"/>
              <w:bottom w:val="single" w:sz="4" w:space="0" w:color="auto"/>
              <w:right w:val="single" w:sz="4" w:space="0" w:color="auto"/>
            </w:tcBorders>
            <w:vAlign w:val="center"/>
          </w:tcPr>
          <w:p w14:paraId="6BB9509B"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53C51248" w14:textId="77777777" w:rsidTr="00CE5AEB">
        <w:trPr>
          <w:trHeight w:val="340"/>
        </w:trPr>
        <w:tc>
          <w:tcPr>
            <w:tcW w:w="2204" w:type="pct"/>
            <w:tcBorders>
              <w:top w:val="single" w:sz="4" w:space="0" w:color="auto"/>
              <w:left w:val="single" w:sz="4" w:space="0" w:color="auto"/>
              <w:bottom w:val="single" w:sz="4" w:space="0" w:color="auto"/>
              <w:right w:val="single" w:sz="4" w:space="0" w:color="auto"/>
            </w:tcBorders>
            <w:vAlign w:val="center"/>
          </w:tcPr>
          <w:p w14:paraId="6C6CB5A6"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蛋及蛋制品</w:t>
            </w:r>
          </w:p>
        </w:tc>
        <w:tc>
          <w:tcPr>
            <w:tcW w:w="1630" w:type="pct"/>
            <w:tcBorders>
              <w:top w:val="single" w:sz="4" w:space="0" w:color="auto"/>
              <w:left w:val="nil"/>
              <w:bottom w:val="single" w:sz="4" w:space="0" w:color="auto"/>
              <w:right w:val="single" w:sz="4" w:space="0" w:color="auto"/>
            </w:tcBorders>
            <w:vAlign w:val="center"/>
          </w:tcPr>
          <w:p w14:paraId="2181870F"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20.0～50.0</w:t>
            </w:r>
          </w:p>
        </w:tc>
        <w:tc>
          <w:tcPr>
            <w:tcW w:w="0" w:type="auto"/>
            <w:vMerge/>
            <w:tcBorders>
              <w:top w:val="nil"/>
              <w:left w:val="nil"/>
              <w:bottom w:val="single" w:sz="4" w:space="0" w:color="auto"/>
              <w:right w:val="single" w:sz="4" w:space="0" w:color="auto"/>
            </w:tcBorders>
            <w:vAlign w:val="center"/>
          </w:tcPr>
          <w:p w14:paraId="012717B4"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06844681" w14:textId="77777777" w:rsidTr="00CE5AEB">
        <w:trPr>
          <w:trHeight w:val="340"/>
        </w:trPr>
        <w:tc>
          <w:tcPr>
            <w:tcW w:w="2204" w:type="pct"/>
            <w:tcBorders>
              <w:top w:val="nil"/>
              <w:left w:val="single" w:sz="4" w:space="0" w:color="auto"/>
              <w:bottom w:val="nil"/>
              <w:right w:val="single" w:sz="4" w:space="0" w:color="auto"/>
            </w:tcBorders>
            <w:vAlign w:val="center"/>
          </w:tcPr>
          <w:p w14:paraId="4A5B2F58" w14:textId="77777777" w:rsidR="003365D7" w:rsidRPr="003365D7" w:rsidRDefault="003365D7" w:rsidP="003365D7">
            <w:pPr>
              <w:widowControl/>
              <w:autoSpaceDE w:val="0"/>
              <w:autoSpaceDN w:val="0"/>
              <w:jc w:val="left"/>
              <w:rPr>
                <w:rFonts w:ascii="宋体" w:eastAsia="宋体" w:hAnsi="宋体" w:cs="Times New Roman"/>
                <w:kern w:val="0"/>
                <w:szCs w:val="21"/>
              </w:rPr>
            </w:pPr>
            <w:r w:rsidRPr="003365D7">
              <w:rPr>
                <w:rFonts w:ascii="宋体" w:eastAsia="宋体" w:hAnsi="宋体" w:cs="Times New Roman" w:hint="eastAsia"/>
                <w:kern w:val="0"/>
                <w:szCs w:val="21"/>
              </w:rPr>
              <w:t>水产动物及其制品</w:t>
            </w:r>
          </w:p>
        </w:tc>
        <w:tc>
          <w:tcPr>
            <w:tcW w:w="1630" w:type="pct"/>
            <w:tcBorders>
              <w:top w:val="nil"/>
              <w:left w:val="nil"/>
              <w:bottom w:val="nil"/>
              <w:right w:val="single" w:sz="4" w:space="0" w:color="auto"/>
            </w:tcBorders>
            <w:vAlign w:val="center"/>
          </w:tcPr>
          <w:p w14:paraId="27342A72" w14:textId="77777777" w:rsidR="003365D7" w:rsidRPr="003365D7" w:rsidRDefault="003365D7" w:rsidP="003365D7">
            <w:pPr>
              <w:widowControl/>
              <w:autoSpaceDE w:val="0"/>
              <w:autoSpaceDN w:val="0"/>
              <w:jc w:val="center"/>
              <w:rPr>
                <w:rFonts w:ascii="宋体" w:eastAsia="宋体" w:hAnsi="宋体" w:cs="Times New Roman"/>
                <w:kern w:val="0"/>
                <w:szCs w:val="21"/>
              </w:rPr>
            </w:pPr>
            <w:r w:rsidRPr="003365D7">
              <w:rPr>
                <w:rFonts w:ascii="宋体" w:eastAsia="宋体" w:hAnsi="宋体" w:cs="Times New Roman" w:hint="eastAsia"/>
                <w:kern w:val="0"/>
                <w:szCs w:val="21"/>
              </w:rPr>
              <w:t>20.0～50.0</w:t>
            </w:r>
          </w:p>
        </w:tc>
        <w:tc>
          <w:tcPr>
            <w:tcW w:w="0" w:type="auto"/>
            <w:vMerge/>
            <w:tcBorders>
              <w:top w:val="nil"/>
              <w:left w:val="nil"/>
              <w:bottom w:val="single" w:sz="4" w:space="0" w:color="auto"/>
              <w:right w:val="single" w:sz="4" w:space="0" w:color="auto"/>
            </w:tcBorders>
            <w:vAlign w:val="center"/>
          </w:tcPr>
          <w:p w14:paraId="174D2B56" w14:textId="77777777" w:rsidR="003365D7" w:rsidRPr="003365D7" w:rsidRDefault="003365D7" w:rsidP="003365D7">
            <w:pPr>
              <w:widowControl/>
              <w:jc w:val="left"/>
              <w:rPr>
                <w:rFonts w:ascii="宋体" w:eastAsia="宋体" w:hAnsi="宋体" w:cs="Times New Roman"/>
                <w:kern w:val="0"/>
                <w:szCs w:val="24"/>
              </w:rPr>
            </w:pPr>
          </w:p>
        </w:tc>
      </w:tr>
      <w:tr w:rsidR="003365D7" w:rsidRPr="003365D7" w14:paraId="393039DA" w14:textId="77777777" w:rsidTr="00CE5AEB">
        <w:trPr>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B91888D" w14:textId="77777777" w:rsidR="003365D7" w:rsidRPr="003365D7" w:rsidRDefault="003365D7" w:rsidP="003365D7">
            <w:pPr>
              <w:ind w:left="363"/>
              <w:rPr>
                <w:rFonts w:ascii="宋体" w:eastAsia="宋体" w:hAnsi="宋体" w:cs="Times New Roman"/>
                <w:szCs w:val="24"/>
              </w:rPr>
            </w:pPr>
            <w:r w:rsidRPr="003365D7">
              <w:rPr>
                <w:rFonts w:ascii="Times new roma" w:eastAsia="宋体" w:hAnsi="Times new roma" w:cs="Times New Roman" w:hint="eastAsia"/>
                <w:szCs w:val="24"/>
                <w:vertAlign w:val="superscript"/>
              </w:rPr>
              <w:t>a</w:t>
            </w:r>
            <w:proofErr w:type="gramStart"/>
            <w:r w:rsidRPr="003365D7">
              <w:rPr>
                <w:rFonts w:ascii="宋体" w:eastAsia="宋体" w:hAnsi="宋体" w:cs="Times New Roman" w:hint="eastAsia"/>
                <w:szCs w:val="24"/>
              </w:rPr>
              <w:t>有机硒占比</w:t>
            </w:r>
            <w:proofErr w:type="gramEnd"/>
            <w:r w:rsidRPr="003365D7">
              <w:rPr>
                <w:rFonts w:ascii="宋体" w:eastAsia="宋体" w:hAnsi="宋体" w:cs="Times New Roman"/>
                <w:szCs w:val="24"/>
              </w:rPr>
              <w:t>（%）</w:t>
            </w:r>
            <w:r w:rsidRPr="003365D7">
              <w:rPr>
                <w:rFonts w:ascii="宋体" w:eastAsia="宋体" w:hAnsi="宋体" w:cs="Times New Roman" w:hint="eastAsia"/>
                <w:szCs w:val="24"/>
              </w:rPr>
              <w:t>=有机硒含量/</w:t>
            </w:r>
            <w:proofErr w:type="gramStart"/>
            <w:r w:rsidRPr="003365D7">
              <w:rPr>
                <w:rFonts w:ascii="宋体" w:eastAsia="宋体" w:hAnsi="宋体" w:cs="Times New Roman" w:hint="eastAsia"/>
                <w:szCs w:val="24"/>
              </w:rPr>
              <w:t>总硒含量</w:t>
            </w:r>
            <w:proofErr w:type="gramEnd"/>
            <w:r w:rsidRPr="003365D7">
              <w:rPr>
                <w:rFonts w:ascii="宋体" w:eastAsia="宋体" w:hAnsi="宋体" w:cs="Times New Roman"/>
                <w:szCs w:val="24"/>
              </w:rPr>
              <w:t>*100</w:t>
            </w:r>
          </w:p>
        </w:tc>
      </w:tr>
    </w:tbl>
    <w:p w14:paraId="0A28359E" w14:textId="77777777" w:rsidR="003365D7" w:rsidRPr="003365D7" w:rsidRDefault="003365D7" w:rsidP="003365D7">
      <w:pPr>
        <w:widowControl/>
        <w:autoSpaceDE w:val="0"/>
        <w:autoSpaceDN w:val="0"/>
        <w:adjustRightInd w:val="0"/>
        <w:snapToGrid w:val="0"/>
        <w:rPr>
          <w:rFonts w:ascii="宋体" w:eastAsia="宋体" w:hAnsi="宋体" w:cs="Times New Roman"/>
          <w:kern w:val="0"/>
          <w:szCs w:val="21"/>
        </w:rPr>
      </w:pPr>
    </w:p>
    <w:p w14:paraId="439DA492" w14:textId="77777777" w:rsidR="003365D7" w:rsidRPr="003365D7" w:rsidRDefault="003365D7" w:rsidP="003365D7">
      <w:pPr>
        <w:widowControl/>
        <w:numPr>
          <w:ilvl w:val="0"/>
          <w:numId w:val="1"/>
        </w:numPr>
        <w:adjustRightInd w:val="0"/>
        <w:snapToGrid w:val="0"/>
        <w:spacing w:beforeLines="100" w:before="240" w:afterLines="100" w:after="240" w:line="360" w:lineRule="auto"/>
        <w:outlineLvl w:val="1"/>
        <w:rPr>
          <w:rFonts w:ascii="宋体" w:eastAsia="黑体" w:hAnsi="宋体" w:cs="Times New Roman"/>
          <w:kern w:val="0"/>
          <w:szCs w:val="21"/>
        </w:rPr>
      </w:pPr>
      <w:r w:rsidRPr="003365D7">
        <w:rPr>
          <w:rFonts w:ascii="宋体" w:eastAsia="黑体" w:hAnsi="宋体" w:cs="Times New Roman" w:hint="eastAsia"/>
          <w:kern w:val="0"/>
          <w:szCs w:val="21"/>
        </w:rPr>
        <w:t>检验方法</w:t>
      </w:r>
    </w:p>
    <w:p w14:paraId="11BF5B65" w14:textId="77777777" w:rsidR="003365D7" w:rsidRPr="003365D7" w:rsidRDefault="003365D7" w:rsidP="003365D7">
      <w:pPr>
        <w:widowControl/>
        <w:numPr>
          <w:ilvl w:val="1"/>
          <w:numId w:val="1"/>
        </w:numPr>
        <w:adjustRightInd w:val="0"/>
        <w:snapToGrid w:val="0"/>
        <w:spacing w:beforeLines="50" w:before="120" w:afterLines="50" w:after="120" w:line="360" w:lineRule="auto"/>
        <w:jc w:val="left"/>
        <w:outlineLvl w:val="2"/>
        <w:rPr>
          <w:rFonts w:ascii="宋体" w:eastAsia="黑体" w:hAnsi="宋体" w:cs="Times New Roman"/>
          <w:kern w:val="0"/>
          <w:szCs w:val="21"/>
        </w:rPr>
      </w:pPr>
      <w:proofErr w:type="gramStart"/>
      <w:r w:rsidRPr="003365D7">
        <w:rPr>
          <w:rFonts w:ascii="宋体" w:eastAsia="黑体" w:hAnsi="宋体" w:cs="Times New Roman" w:hint="eastAsia"/>
          <w:kern w:val="0"/>
          <w:szCs w:val="21"/>
        </w:rPr>
        <w:t>总硒含量</w:t>
      </w:r>
      <w:proofErr w:type="gramEnd"/>
    </w:p>
    <w:p w14:paraId="7521E9CF" w14:textId="77777777" w:rsidR="003365D7" w:rsidRPr="003365D7" w:rsidRDefault="003365D7" w:rsidP="003365D7">
      <w:pPr>
        <w:widowControl/>
        <w:autoSpaceDE w:val="0"/>
        <w:autoSpaceDN w:val="0"/>
        <w:adjustRightInd w:val="0"/>
        <w:snapToGrid w:val="0"/>
        <w:spacing w:line="360" w:lineRule="auto"/>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按</w:t>
      </w:r>
      <w:r w:rsidRPr="003365D7">
        <w:rPr>
          <w:rFonts w:ascii="Times new roma" w:eastAsia="宋体" w:hAnsi="Times new roma" w:cs="Times New Roman" w:hint="eastAsia"/>
          <w:kern w:val="0"/>
          <w:szCs w:val="21"/>
        </w:rPr>
        <w:t>GB</w:t>
      </w:r>
      <w:r w:rsidRPr="003365D7">
        <w:rPr>
          <w:rFonts w:ascii="宋体" w:eastAsia="宋体" w:hAnsi="宋体" w:cs="Times New Roman" w:hint="eastAsia"/>
          <w:kern w:val="0"/>
          <w:szCs w:val="21"/>
        </w:rPr>
        <w:t xml:space="preserve"> 5009.93规定的方法测定。</w:t>
      </w:r>
    </w:p>
    <w:p w14:paraId="3113AC47" w14:textId="77777777" w:rsidR="003365D7" w:rsidRPr="003365D7" w:rsidRDefault="003365D7" w:rsidP="003365D7">
      <w:pPr>
        <w:widowControl/>
        <w:numPr>
          <w:ilvl w:val="1"/>
          <w:numId w:val="1"/>
        </w:numPr>
        <w:adjustRightInd w:val="0"/>
        <w:snapToGrid w:val="0"/>
        <w:spacing w:beforeLines="50" w:before="120" w:afterLines="50" w:after="120" w:line="360" w:lineRule="auto"/>
        <w:jc w:val="left"/>
        <w:outlineLvl w:val="2"/>
        <w:rPr>
          <w:rFonts w:ascii="宋体" w:eastAsia="黑体" w:hAnsi="宋体" w:cs="Times New Roman"/>
          <w:kern w:val="0"/>
          <w:szCs w:val="21"/>
        </w:rPr>
      </w:pPr>
      <w:r w:rsidRPr="003365D7">
        <w:rPr>
          <w:rFonts w:ascii="宋体" w:eastAsia="黑体" w:hAnsi="宋体" w:cs="Times New Roman" w:hint="eastAsia"/>
          <w:kern w:val="0"/>
          <w:szCs w:val="21"/>
        </w:rPr>
        <w:t>有机硒含量</w:t>
      </w:r>
    </w:p>
    <w:p w14:paraId="5AC4DFDB" w14:textId="77777777" w:rsidR="003365D7" w:rsidRPr="003365D7" w:rsidRDefault="003365D7" w:rsidP="003365D7">
      <w:pPr>
        <w:widowControl/>
        <w:autoSpaceDE w:val="0"/>
        <w:autoSpaceDN w:val="0"/>
        <w:adjustRightInd w:val="0"/>
        <w:snapToGrid w:val="0"/>
        <w:spacing w:line="360" w:lineRule="auto"/>
        <w:ind w:firstLineChars="200" w:firstLine="420"/>
        <w:rPr>
          <w:rFonts w:ascii="宋体" w:eastAsia="宋体" w:hAnsi="宋体" w:cs="Times New Roman"/>
          <w:kern w:val="0"/>
          <w:szCs w:val="21"/>
        </w:rPr>
      </w:pPr>
      <w:r w:rsidRPr="003365D7">
        <w:rPr>
          <w:rFonts w:ascii="宋体" w:eastAsia="宋体" w:hAnsi="宋体" w:cs="Times New Roman" w:hint="eastAsia"/>
          <w:kern w:val="0"/>
          <w:szCs w:val="21"/>
        </w:rPr>
        <w:t>有机硒含量采用差减法，</w:t>
      </w:r>
      <w:proofErr w:type="gramStart"/>
      <w:r w:rsidRPr="003365D7">
        <w:rPr>
          <w:rFonts w:ascii="宋体" w:eastAsia="宋体" w:hAnsi="宋体" w:cs="Times New Roman" w:hint="eastAsia"/>
          <w:kern w:val="0"/>
          <w:szCs w:val="21"/>
        </w:rPr>
        <w:t>即总硒含量</w:t>
      </w:r>
      <w:proofErr w:type="gramEnd"/>
      <w:r w:rsidRPr="003365D7">
        <w:rPr>
          <w:rFonts w:ascii="宋体" w:eastAsia="宋体" w:hAnsi="宋体" w:cs="Times New Roman" w:hint="eastAsia"/>
          <w:kern w:val="0"/>
          <w:szCs w:val="21"/>
        </w:rPr>
        <w:t>减去无机硒含量等于有机硒含量。无机硒含量按</w:t>
      </w:r>
      <w:r w:rsidRPr="003365D7">
        <w:rPr>
          <w:rFonts w:ascii="Times new roma" w:eastAsia="宋体" w:hAnsi="Times new roma" w:cs="Times New Roman" w:hint="eastAsia"/>
          <w:kern w:val="0"/>
          <w:szCs w:val="21"/>
        </w:rPr>
        <w:t>DBS</w:t>
      </w:r>
      <w:r w:rsidRPr="003365D7">
        <w:rPr>
          <w:rFonts w:ascii="宋体" w:eastAsia="宋体" w:hAnsi="宋体" w:cs="Times New Roman" w:hint="eastAsia"/>
          <w:kern w:val="0"/>
          <w:szCs w:val="21"/>
        </w:rPr>
        <w:t>42/ 010规定的方法测定。</w:t>
      </w:r>
    </w:p>
    <w:p w14:paraId="4DCCBA03" w14:textId="77777777" w:rsidR="003365D7" w:rsidRPr="003365D7" w:rsidRDefault="003365D7" w:rsidP="003365D7">
      <w:pPr>
        <w:widowControl/>
        <w:numPr>
          <w:ilvl w:val="0"/>
          <w:numId w:val="1"/>
        </w:numPr>
        <w:adjustRightInd w:val="0"/>
        <w:snapToGrid w:val="0"/>
        <w:spacing w:beforeLines="100" w:before="240" w:afterLines="100" w:after="240" w:line="360" w:lineRule="auto"/>
        <w:outlineLvl w:val="1"/>
        <w:rPr>
          <w:rFonts w:ascii="宋体" w:eastAsia="黑体" w:hAnsi="宋体" w:cs="Times New Roman"/>
          <w:kern w:val="0"/>
          <w:szCs w:val="21"/>
        </w:rPr>
      </w:pPr>
      <w:r w:rsidRPr="003365D7">
        <w:rPr>
          <w:rFonts w:ascii="宋体" w:eastAsia="黑体" w:hAnsi="宋体" w:cs="Times New Roman" w:hint="eastAsia"/>
          <w:kern w:val="0"/>
          <w:szCs w:val="21"/>
        </w:rPr>
        <w:t>标注要求</w:t>
      </w:r>
    </w:p>
    <w:p w14:paraId="4208DCAE" w14:textId="77777777" w:rsidR="003365D7" w:rsidRPr="003365D7" w:rsidRDefault="003365D7" w:rsidP="003365D7">
      <w:pPr>
        <w:widowControl/>
        <w:numPr>
          <w:ilvl w:val="1"/>
          <w:numId w:val="1"/>
        </w:numPr>
        <w:adjustRightInd w:val="0"/>
        <w:snapToGrid w:val="0"/>
        <w:spacing w:beforeLines="50" w:before="120" w:afterLines="50" w:after="120" w:line="360" w:lineRule="auto"/>
        <w:jc w:val="left"/>
        <w:outlineLvl w:val="2"/>
        <w:rPr>
          <w:rFonts w:ascii="宋体" w:eastAsia="宋体" w:hAnsi="宋体" w:cs="Times New Roman"/>
          <w:kern w:val="0"/>
          <w:szCs w:val="21"/>
        </w:rPr>
      </w:pPr>
      <w:r w:rsidRPr="003365D7">
        <w:rPr>
          <w:rFonts w:ascii="宋体" w:eastAsia="宋体" w:hAnsi="宋体" w:cs="Times New Roman" w:hint="eastAsia"/>
          <w:kern w:val="0"/>
          <w:szCs w:val="21"/>
        </w:rPr>
        <w:t>标签、标识应符合</w:t>
      </w:r>
      <w:r w:rsidRPr="003365D7">
        <w:rPr>
          <w:rFonts w:ascii="Times new roma" w:eastAsia="宋体" w:hAnsi="Times new roma" w:cs="Times New Roman" w:hint="eastAsia"/>
          <w:kern w:val="0"/>
          <w:szCs w:val="21"/>
        </w:rPr>
        <w:t>GB</w:t>
      </w:r>
      <w:r w:rsidRPr="003365D7">
        <w:rPr>
          <w:rFonts w:ascii="宋体" w:eastAsia="宋体" w:hAnsi="宋体" w:cs="Times New Roman" w:hint="eastAsia"/>
          <w:kern w:val="0"/>
          <w:szCs w:val="21"/>
        </w:rPr>
        <w:t xml:space="preserve"> 7718、</w:t>
      </w:r>
      <w:r w:rsidRPr="003365D7">
        <w:rPr>
          <w:rFonts w:ascii="Times new roma" w:eastAsia="宋体" w:hAnsi="Times new roma" w:cs="Times New Roman" w:hint="eastAsia"/>
          <w:kern w:val="0"/>
          <w:szCs w:val="21"/>
        </w:rPr>
        <w:t>GB</w:t>
      </w:r>
      <w:r w:rsidRPr="003365D7">
        <w:rPr>
          <w:rFonts w:ascii="宋体" w:eastAsia="宋体" w:hAnsi="宋体" w:cs="Times New Roman" w:hint="eastAsia"/>
          <w:kern w:val="0"/>
          <w:szCs w:val="21"/>
        </w:rPr>
        <w:t xml:space="preserve"> 13432、</w:t>
      </w:r>
      <w:r w:rsidRPr="003365D7">
        <w:rPr>
          <w:rFonts w:ascii="Times new roma" w:eastAsia="宋体" w:hAnsi="Times new roma" w:cs="Times New Roman" w:hint="eastAsia"/>
          <w:kern w:val="0"/>
          <w:szCs w:val="21"/>
        </w:rPr>
        <w:t>GB</w:t>
      </w:r>
      <w:r w:rsidRPr="003365D7">
        <w:rPr>
          <w:rFonts w:ascii="宋体" w:eastAsia="宋体" w:hAnsi="宋体" w:cs="Times New Roman" w:hint="eastAsia"/>
          <w:kern w:val="0"/>
          <w:szCs w:val="21"/>
        </w:rPr>
        <w:t xml:space="preserve"> 28050的规定。</w:t>
      </w:r>
    </w:p>
    <w:p w14:paraId="6906E603" w14:textId="77777777" w:rsidR="003365D7" w:rsidRPr="003365D7" w:rsidRDefault="003365D7" w:rsidP="003365D7">
      <w:pPr>
        <w:widowControl/>
        <w:numPr>
          <w:ilvl w:val="1"/>
          <w:numId w:val="1"/>
        </w:numPr>
        <w:adjustRightInd w:val="0"/>
        <w:snapToGrid w:val="0"/>
        <w:spacing w:beforeLines="50" w:before="120" w:afterLines="50" w:after="120" w:line="360" w:lineRule="auto"/>
        <w:jc w:val="left"/>
        <w:outlineLvl w:val="2"/>
        <w:rPr>
          <w:rFonts w:ascii="宋体" w:eastAsia="宋体" w:hAnsi="宋体" w:cs="Times New Roman"/>
          <w:kern w:val="0"/>
          <w:szCs w:val="21"/>
        </w:rPr>
        <w:sectPr w:rsidR="003365D7" w:rsidRPr="003365D7">
          <w:pgSz w:w="11906" w:h="16838"/>
          <w:pgMar w:top="2098" w:right="1531" w:bottom="1985" w:left="1531" w:header="851" w:footer="1304" w:gutter="0"/>
          <w:cols w:space="720"/>
          <w:docGrid w:linePitch="579" w:charSpace="21679"/>
        </w:sectPr>
      </w:pPr>
      <w:r>
        <w:rPr>
          <w:rFonts w:ascii="宋体" w:eastAsia="宋体" w:hAnsi="宋体" w:cs="Times New Roman" w:hint="eastAsia"/>
          <w:noProof/>
          <w:kern w:val="0"/>
          <w:szCs w:val="21"/>
        </w:rPr>
        <w:lastRenderedPageBreak/>
        <mc:AlternateContent>
          <mc:Choice Requires="wps">
            <w:drawing>
              <wp:anchor distT="0" distB="0" distL="114300" distR="114300" simplePos="0" relativeHeight="251659264" behindDoc="0" locked="0" layoutInCell="1" allowOverlap="1" wp14:anchorId="11BC202B" wp14:editId="792AD3EE">
                <wp:simplePos x="0" y="0"/>
                <wp:positionH relativeFrom="column">
                  <wp:posOffset>-19050</wp:posOffset>
                </wp:positionH>
                <wp:positionV relativeFrom="paragraph">
                  <wp:posOffset>772160</wp:posOffset>
                </wp:positionV>
                <wp:extent cx="5652135" cy="0"/>
                <wp:effectExtent l="10160" t="8890" r="5080"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DBA24"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0.8pt" to="443.5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"/>
            </w:pict>
          </mc:Fallback>
        </mc:AlternateContent>
      </w:r>
      <w:r w:rsidRPr="003365D7">
        <w:rPr>
          <w:rFonts w:ascii="宋体" w:eastAsia="宋体" w:hAnsi="宋体" w:cs="Times New Roman" w:hint="eastAsia"/>
          <w:kern w:val="0"/>
          <w:szCs w:val="21"/>
        </w:rPr>
        <w:t>标签、标识中声称“富有机硒食品”，应符合本标准的规定，须同时</w:t>
      </w:r>
      <w:proofErr w:type="gramStart"/>
      <w:r w:rsidRPr="003365D7">
        <w:rPr>
          <w:rFonts w:ascii="宋体" w:eastAsia="宋体" w:hAnsi="宋体" w:cs="Times New Roman" w:hint="eastAsia"/>
          <w:kern w:val="0"/>
          <w:szCs w:val="21"/>
        </w:rPr>
        <w:t>标注总硒</w:t>
      </w:r>
      <w:proofErr w:type="gramEnd"/>
      <w:r w:rsidRPr="003365D7">
        <w:rPr>
          <w:rFonts w:ascii="宋体" w:eastAsia="宋体" w:hAnsi="宋体" w:cs="Times New Roman" w:hint="eastAsia"/>
          <w:kern w:val="0"/>
          <w:szCs w:val="21"/>
        </w:rPr>
        <w:t>含量及</w:t>
      </w:r>
      <w:proofErr w:type="gramStart"/>
      <w:r w:rsidRPr="003365D7">
        <w:rPr>
          <w:rFonts w:ascii="宋体" w:eastAsia="宋体" w:hAnsi="宋体" w:cs="Times New Roman" w:hint="eastAsia"/>
          <w:kern w:val="0"/>
          <w:szCs w:val="21"/>
        </w:rPr>
        <w:t>有机硒占比</w:t>
      </w:r>
      <w:proofErr w:type="gramEnd"/>
      <w:r w:rsidRPr="003365D7">
        <w:rPr>
          <w:rFonts w:ascii="宋体" w:eastAsia="宋体" w:hAnsi="宋体" w:cs="Times New Roman" w:hint="eastAsia"/>
          <w:kern w:val="0"/>
          <w:szCs w:val="21"/>
        </w:rPr>
        <w:t>，食用量应符合WS/T 578.3的要求。</w:t>
      </w:r>
    </w:p>
    <w:p w14:paraId="48B2E305" w14:textId="77777777" w:rsidR="003365D7" w:rsidRPr="003365D7" w:rsidRDefault="003365D7" w:rsidP="003365D7">
      <w:pPr>
        <w:widowControl/>
        <w:spacing w:line="432" w:lineRule="auto"/>
        <w:ind w:right="1335"/>
        <w:jc w:val="left"/>
        <w:rPr>
          <w:rFonts w:ascii="仿宋" w:eastAsia="仿宋" w:hAnsi="仿宋" w:cs="宋体"/>
          <w:color w:val="333333"/>
          <w:kern w:val="0"/>
          <w:sz w:val="30"/>
          <w:szCs w:val="30"/>
        </w:rPr>
      </w:pPr>
    </w:p>
    <w:sectPr w:rsidR="003365D7" w:rsidRPr="003365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5BBB7" w14:textId="77777777" w:rsidR="009F0055" w:rsidRDefault="009F0055">
      <w:r>
        <w:separator/>
      </w:r>
    </w:p>
  </w:endnote>
  <w:endnote w:type="continuationSeparator" w:id="0">
    <w:p w14:paraId="343AF8F8" w14:textId="77777777" w:rsidR="009F0055" w:rsidRDefault="009F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Times new roma">
    <w:altName w:val="Arial Unicode MS"/>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CDD36" w14:textId="77777777" w:rsidR="009F0055" w:rsidRDefault="009F0055">
      <w:r>
        <w:separator/>
      </w:r>
    </w:p>
  </w:footnote>
  <w:footnote w:type="continuationSeparator" w:id="0">
    <w:p w14:paraId="0A49E9AF" w14:textId="77777777" w:rsidR="009F0055" w:rsidRDefault="009F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F502B" w14:textId="77777777" w:rsidR="00A51C97" w:rsidRDefault="003365D7">
    <w:pPr>
      <w:pStyle w:val="a7"/>
      <w:ind w:firstLine="560"/>
      <w:jc w:val="right"/>
      <w:rPr>
        <w:rFonts w:ascii="宋体" w:hAnsi="宋体"/>
        <w:sz w:val="28"/>
        <w:szCs w:val="28"/>
      </w:rPr>
    </w:pPr>
    <w:r>
      <w:rPr>
        <w:rFonts w:ascii="Times new roma" w:hAnsi="Times new roma"/>
        <w:sz w:val="28"/>
        <w:szCs w:val="28"/>
      </w:rPr>
      <w:t>DBS</w:t>
    </w:r>
    <w:r>
      <w:rPr>
        <w:rFonts w:ascii="宋体" w:hAnsi="宋体" w:hint="eastAsia"/>
        <w:sz w:val="28"/>
        <w:szCs w:val="28"/>
      </w:rPr>
      <w:t>42/002-2021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5E594" w14:textId="77777777" w:rsidR="00A51C97" w:rsidRDefault="00A51C97">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57E45"/>
    <w:multiLevelType w:val="multilevel"/>
    <w:tmpl w:val="1E457E45"/>
    <w:lvl w:ilvl="0">
      <w:start w:val="1"/>
      <w:numFmt w:val="decimal"/>
      <w:suff w:val="nothing"/>
      <w:lvlText w:val="%1　"/>
      <w:lvlJc w:val="left"/>
      <w:pPr>
        <w:ind w:left="0" w:firstLine="0"/>
      </w:pPr>
      <w:rPr>
        <w:rFonts w:ascii="黑体" w:eastAsia="黑体" w:hAnsi="Times New Roman" w:hint="eastAsia"/>
        <w:b w:val="0"/>
        <w:bCs w:val="0"/>
        <w:i w:val="0"/>
        <w:iCs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pacing w:val="0"/>
        <w:sz w:val="21"/>
        <w:szCs w:val="21"/>
      </w:rPr>
    </w:lvl>
    <w:lvl w:ilvl="2">
      <w:start w:val="1"/>
      <w:numFmt w:val="decimal"/>
      <w:suff w:val="nothing"/>
      <w:lvlText w:val="%1.%2.%3　"/>
      <w:lvlJc w:val="left"/>
      <w:pPr>
        <w:ind w:left="0" w:firstLine="0"/>
      </w:pPr>
      <w:rPr>
        <w:rFonts w:ascii="黑体" w:eastAsia="黑体" w:hAnsi="Times New Roman" w:hint="eastAsia"/>
        <w:b w:val="0"/>
        <w:bCs w:val="0"/>
        <w:i w:val="0"/>
        <w:iCs w:val="0"/>
        <w:sz w:val="21"/>
        <w:szCs w:val="21"/>
      </w:rPr>
    </w:lvl>
    <w:lvl w:ilvl="3">
      <w:start w:val="1"/>
      <w:numFmt w:val="decimal"/>
      <w:suff w:val="nothing"/>
      <w:lvlText w:val="%1.%2.%3.%4　"/>
      <w:lvlJc w:val="left"/>
      <w:pPr>
        <w:ind w:left="0" w:firstLine="0"/>
      </w:pPr>
      <w:rPr>
        <w:rFonts w:ascii="黑体" w:eastAsia="黑体" w:hAnsi="Times New Roman" w:hint="eastAsia"/>
        <w:b w:val="0"/>
        <w:bCs w:val="0"/>
        <w:i w:val="0"/>
        <w:iCs w:val="0"/>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 w15:restartNumberingAfterBreak="0">
    <w:nsid w:val="7C2B43DB"/>
    <w:multiLevelType w:val="multilevel"/>
    <w:tmpl w:val="7C2B43DB"/>
    <w:lvl w:ilvl="0">
      <w:start w:val="1"/>
      <w:numFmt w:val="decimal"/>
      <w:suff w:val="nothing"/>
      <w:lvlText w:val="表%1　"/>
      <w:lvlJc w:val="left"/>
      <w:pPr>
        <w:ind w:left="0" w:firstLine="0"/>
      </w:pPr>
      <w:rPr>
        <w:rFonts w:ascii="黑体" w:eastAsia="黑体" w:hAnsi="Times New Roman" w:hint="eastAsia"/>
        <w:b w:val="0"/>
        <w:bCs w:val="0"/>
        <w:i w:val="0"/>
        <w:iCs w:val="0"/>
        <w:sz w:val="21"/>
        <w:szCs w:val="21"/>
      </w:rPr>
    </w:lvl>
    <w:lvl w:ilvl="1">
      <w:start w:val="1"/>
      <w:numFmt w:val="decimal"/>
      <w:lvlText w:val="%1.%2"/>
      <w:lvlJc w:val="left"/>
      <w:pPr>
        <w:tabs>
          <w:tab w:val="num" w:pos="992"/>
        </w:tabs>
        <w:ind w:left="992" w:hanging="567"/>
      </w:pPr>
      <w:rPr>
        <w:rFonts w:ascii="宋体" w:eastAsia="宋体" w:hAnsi="宋体" w:hint="eastAsia"/>
      </w:rPr>
    </w:lvl>
    <w:lvl w:ilvl="2">
      <w:start w:val="1"/>
      <w:numFmt w:val="decimal"/>
      <w:lvlText w:val="%1.%2.%3"/>
      <w:lvlJc w:val="left"/>
      <w:pPr>
        <w:tabs>
          <w:tab w:val="num" w:pos="1418"/>
        </w:tabs>
        <w:ind w:left="1418" w:hanging="567"/>
      </w:pPr>
      <w:rPr>
        <w:rFonts w:ascii="宋体" w:eastAsia="宋体" w:hAnsi="宋体" w:hint="eastAsia"/>
      </w:rPr>
    </w:lvl>
    <w:lvl w:ilvl="3">
      <w:start w:val="1"/>
      <w:numFmt w:val="decimal"/>
      <w:lvlText w:val="%1.%2.%3.%4"/>
      <w:lvlJc w:val="left"/>
      <w:pPr>
        <w:tabs>
          <w:tab w:val="num" w:pos="1984"/>
        </w:tabs>
        <w:ind w:left="1984" w:hanging="708"/>
      </w:pPr>
      <w:rPr>
        <w:rFonts w:ascii="宋体" w:eastAsia="宋体" w:hAnsi="宋体" w:hint="eastAsia"/>
      </w:rPr>
    </w:lvl>
    <w:lvl w:ilvl="4">
      <w:start w:val="1"/>
      <w:numFmt w:val="decimal"/>
      <w:lvlText w:val="%1.%2.%3.%4.%5"/>
      <w:lvlJc w:val="left"/>
      <w:pPr>
        <w:tabs>
          <w:tab w:val="num" w:pos="2551"/>
        </w:tabs>
        <w:ind w:left="2551" w:hanging="850"/>
      </w:pPr>
      <w:rPr>
        <w:rFonts w:ascii="宋体" w:eastAsia="宋体" w:hAnsi="宋体" w:hint="eastAsia"/>
      </w:rPr>
    </w:lvl>
    <w:lvl w:ilvl="5">
      <w:start w:val="1"/>
      <w:numFmt w:val="decimal"/>
      <w:lvlText w:val="%1.%2.%3.%4.%5.%6"/>
      <w:lvlJc w:val="left"/>
      <w:pPr>
        <w:tabs>
          <w:tab w:val="num" w:pos="3260"/>
        </w:tabs>
        <w:ind w:left="3260" w:hanging="1134"/>
      </w:pPr>
      <w:rPr>
        <w:rFonts w:ascii="宋体" w:eastAsia="宋体" w:hAnsi="宋体" w:hint="eastAsia"/>
      </w:rPr>
    </w:lvl>
    <w:lvl w:ilvl="6">
      <w:start w:val="1"/>
      <w:numFmt w:val="decimal"/>
      <w:lvlText w:val="%1.%2.%3.%4.%5.%6.%7"/>
      <w:lvlJc w:val="left"/>
      <w:pPr>
        <w:tabs>
          <w:tab w:val="num" w:pos="3827"/>
        </w:tabs>
        <w:ind w:left="3827" w:hanging="1276"/>
      </w:pPr>
      <w:rPr>
        <w:rFonts w:ascii="宋体" w:eastAsia="宋体" w:hAnsi="宋体" w:hint="eastAsia"/>
      </w:rPr>
    </w:lvl>
    <w:lvl w:ilvl="7">
      <w:start w:val="1"/>
      <w:numFmt w:val="decimal"/>
      <w:lvlText w:val="%1.%2.%3.%4.%5.%6.%7.%8"/>
      <w:lvlJc w:val="left"/>
      <w:pPr>
        <w:tabs>
          <w:tab w:val="num" w:pos="4394"/>
        </w:tabs>
        <w:ind w:left="4394" w:hanging="1418"/>
      </w:pPr>
      <w:rPr>
        <w:rFonts w:ascii="宋体" w:eastAsia="宋体" w:hAnsi="宋体" w:hint="eastAsia"/>
      </w:rPr>
    </w:lvl>
    <w:lvl w:ilvl="8">
      <w:start w:val="1"/>
      <w:numFmt w:val="decimal"/>
      <w:lvlText w:val="%1.%2.%3.%4.%5.%6.%7.%8.%9"/>
      <w:lvlJc w:val="left"/>
      <w:pPr>
        <w:tabs>
          <w:tab w:val="num" w:pos="5102"/>
        </w:tabs>
        <w:ind w:left="5102" w:hanging="1700"/>
      </w:pPr>
      <w:rPr>
        <w:rFonts w:ascii="宋体" w:eastAsia="宋体" w:hAnsi="宋体"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B76"/>
    <w:rsid w:val="F96E925C"/>
    <w:rsid w:val="FB6FC10E"/>
    <w:rsid w:val="00033047"/>
    <w:rsid w:val="00263A7A"/>
    <w:rsid w:val="00277521"/>
    <w:rsid w:val="002C4B76"/>
    <w:rsid w:val="003365D7"/>
    <w:rsid w:val="0035041A"/>
    <w:rsid w:val="00435511"/>
    <w:rsid w:val="004F10E0"/>
    <w:rsid w:val="005621EA"/>
    <w:rsid w:val="005E0C14"/>
    <w:rsid w:val="006B5C43"/>
    <w:rsid w:val="006F2E08"/>
    <w:rsid w:val="009B26DC"/>
    <w:rsid w:val="009F0055"/>
    <w:rsid w:val="00A51C97"/>
    <w:rsid w:val="00A73187"/>
    <w:rsid w:val="00AE5A94"/>
    <w:rsid w:val="00CC3143"/>
    <w:rsid w:val="00D1432D"/>
    <w:rsid w:val="00E56B83"/>
    <w:rsid w:val="1FFFE84B"/>
    <w:rsid w:val="3EEFE210"/>
    <w:rsid w:val="5BFEC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53CD3"/>
  <w15:docId w15:val="{C2DEB839-06F5-4EF6-9121-83D0F1D3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Date"/>
    <w:basedOn w:val="a"/>
    <w:next w:val="a"/>
    <w:link w:val="aa"/>
    <w:uiPriority w:val="99"/>
    <w:semiHidden/>
    <w:unhideWhenUsed/>
    <w:rsid w:val="003365D7"/>
    <w:pPr>
      <w:ind w:leftChars="2500" w:left="100"/>
    </w:pPr>
  </w:style>
  <w:style w:type="character" w:customStyle="1" w:styleId="aa">
    <w:name w:val="日期 字符"/>
    <w:basedOn w:val="a0"/>
    <w:link w:val="a9"/>
    <w:uiPriority w:val="99"/>
    <w:semiHidden/>
    <w:rsid w:val="003365D7"/>
    <w:rPr>
      <w:kern w:val="2"/>
      <w:sz w:val="21"/>
      <w:szCs w:val="22"/>
    </w:rPr>
  </w:style>
  <w:style w:type="paragraph" w:customStyle="1" w:styleId="CharCharCharCharCharCharChar">
    <w:name w:val="Char Char Char Char Char Char Char"/>
    <w:basedOn w:val="a"/>
    <w:rsid w:val="003365D7"/>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news.foodmate.net/tag_1647.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s.foodmate.net/tag_13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foodmate.net/tag_1647.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ews.foodmate.net/tag_4211.html" TargetMode="External"/><Relationship Id="rId4" Type="http://schemas.openxmlformats.org/officeDocument/2006/relationships/settings" Target="settings.xml"/><Relationship Id="rId9" Type="http://schemas.openxmlformats.org/officeDocument/2006/relationships/hyperlink" Target="http://news.foodmate.net/tag_134.html"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lyx</dc:creator>
  <cp:lastModifiedBy>ljj</cp:lastModifiedBy>
  <cp:revision>4</cp:revision>
  <cp:lastPrinted>2021-01-19T01:39:00Z</cp:lastPrinted>
  <dcterms:created xsi:type="dcterms:W3CDTF">2021-03-09T07:19:00Z</dcterms:created>
  <dcterms:modified xsi:type="dcterms:W3CDTF">2021-03-09T07:27:00Z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