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7CA035">
      <w:pPr>
        <w:keepNext w:val="0"/>
        <w:keepLines w:val="0"/>
        <w:pageBreakBefore w:val="0"/>
        <w:widowControl w:val="0"/>
        <w:kinsoku/>
        <w:wordWrap/>
        <w:overflowPunct/>
        <w:topLinePunct w:val="0"/>
        <w:autoSpaceDE/>
        <w:autoSpaceDN/>
        <w:bidi w:val="0"/>
        <w:adjustRightInd/>
        <w:snapToGrid/>
        <w:spacing w:line="600" w:lineRule="exact"/>
        <w:ind w:firstLine="420" w:firstLineChars="200"/>
        <w:jc w:val="both"/>
        <w:textAlignment w:val="auto"/>
        <w:rPr>
          <w:rFonts w:hint="eastAsia"/>
        </w:rPr>
      </w:pPr>
    </w:p>
    <w:p w14:paraId="4763577D">
      <w:pPr>
        <w:spacing w:line="580" w:lineRule="exact"/>
        <w:jc w:val="center"/>
        <w:rPr>
          <w:rFonts w:ascii="Times New Roman" w:hAnsi="Times New Roman" w:eastAsia="方正小标宋_GBK" w:cs="Times New Roman"/>
          <w:kern w:val="0"/>
          <w:sz w:val="44"/>
          <w:szCs w:val="44"/>
        </w:rPr>
      </w:pPr>
    </w:p>
    <w:p w14:paraId="47D3FAF7">
      <w:pPr>
        <w:spacing w:line="580" w:lineRule="exact"/>
        <w:jc w:val="center"/>
        <w:rPr>
          <w:rFonts w:ascii="Times New Roman" w:hAnsi="Times New Roman" w:eastAsia="方正小标宋_GBK" w:cs="Times New Roman"/>
          <w:kern w:val="0"/>
          <w:sz w:val="44"/>
          <w:szCs w:val="44"/>
        </w:rPr>
      </w:pPr>
    </w:p>
    <w:p w14:paraId="49B8F09F">
      <w:pPr>
        <w:spacing w:line="580" w:lineRule="exact"/>
        <w:jc w:val="center"/>
        <w:rPr>
          <w:rFonts w:ascii="Times New Roman" w:hAnsi="Times New Roman" w:eastAsia="方正小标宋_GBK" w:cs="Times New Roman"/>
          <w:kern w:val="0"/>
          <w:sz w:val="44"/>
          <w:szCs w:val="44"/>
        </w:rPr>
      </w:pPr>
    </w:p>
    <w:p w14:paraId="0A97BCAC">
      <w:pPr>
        <w:spacing w:line="580" w:lineRule="exact"/>
        <w:jc w:val="center"/>
        <w:rPr>
          <w:rFonts w:ascii="Times New Roman" w:hAnsi="Times New Roman" w:eastAsia="方正小标宋_GBK" w:cs="Times New Roman"/>
          <w:kern w:val="0"/>
          <w:sz w:val="44"/>
          <w:szCs w:val="44"/>
        </w:rPr>
      </w:pPr>
    </w:p>
    <w:p w14:paraId="5AE185B5">
      <w:pPr>
        <w:spacing w:line="580" w:lineRule="exact"/>
        <w:jc w:val="center"/>
        <w:rPr>
          <w:rFonts w:ascii="Times New Roman" w:hAnsi="Times New Roman" w:eastAsia="方正小标宋_GBK" w:cs="Times New Roman"/>
          <w:kern w:val="0"/>
          <w:sz w:val="44"/>
          <w:szCs w:val="44"/>
        </w:rPr>
      </w:pPr>
    </w:p>
    <w:p w14:paraId="0C765BA8">
      <w:pPr>
        <w:spacing w:line="288" w:lineRule="auto"/>
        <w:jc w:val="center"/>
        <w:rPr>
          <w:rFonts w:hint="eastAsia" w:ascii="方正小标宋简体" w:hAnsi="方正小标宋简体" w:eastAsia="方正小标宋简体" w:cs="方正小标宋简体"/>
          <w:spacing w:val="11"/>
          <w:kern w:val="0"/>
          <w:sz w:val="60"/>
          <w:szCs w:val="60"/>
        </w:rPr>
      </w:pPr>
      <w:r>
        <w:rPr>
          <w:rFonts w:hint="eastAsia" w:ascii="方正小标宋简体" w:hAnsi="方正小标宋简体" w:eastAsia="方正小标宋简体" w:cs="方正小标宋简体"/>
          <w:spacing w:val="11"/>
          <w:kern w:val="0"/>
          <w:sz w:val="60"/>
          <w:szCs w:val="60"/>
        </w:rPr>
        <w:t>湖北省精神障碍诊疗管理规范</w:t>
      </w:r>
    </w:p>
    <w:p w14:paraId="5214BEA5">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方正小标宋简体" w:hAnsi="方正小标宋简体" w:eastAsia="方正小标宋简体" w:cs="方正小标宋简体"/>
          <w:kern w:val="0"/>
          <w:sz w:val="56"/>
          <w:szCs w:val="56"/>
        </w:rPr>
      </w:pPr>
      <w:r>
        <w:rPr>
          <w:rFonts w:hint="eastAsia" w:ascii="方正小标宋简体" w:hAnsi="方正小标宋简体" w:eastAsia="方正小标宋简体" w:cs="方正小标宋简体"/>
          <w:kern w:val="0"/>
          <w:sz w:val="56"/>
          <w:szCs w:val="56"/>
        </w:rPr>
        <w:t>（</w:t>
      </w:r>
      <w:r>
        <w:rPr>
          <w:rFonts w:hint="eastAsia" w:ascii="方正小标宋简体" w:hAnsi="方正小标宋简体" w:eastAsia="方正小标宋简体" w:cs="方正小标宋简体"/>
          <w:spacing w:val="11"/>
          <w:kern w:val="0"/>
          <w:sz w:val="60"/>
          <w:szCs w:val="60"/>
        </w:rPr>
        <w:t>2026</w:t>
      </w:r>
      <w:r>
        <w:rPr>
          <w:rFonts w:hint="eastAsia" w:ascii="方正小标宋简体" w:hAnsi="方正小标宋简体" w:eastAsia="方正小标宋简体" w:cs="方正小标宋简体"/>
          <w:kern w:val="0"/>
          <w:sz w:val="56"/>
          <w:szCs w:val="56"/>
        </w:rPr>
        <w:t>年版）</w:t>
      </w:r>
    </w:p>
    <w:p w14:paraId="3A4B2AF1">
      <w:pPr>
        <w:spacing w:line="288" w:lineRule="auto"/>
        <w:rPr>
          <w:rFonts w:ascii="Times New Roman" w:hAnsi="Times New Roman" w:eastAsia="方正小标宋_GBK" w:cs="Times New Roman"/>
          <w:kern w:val="0"/>
          <w:sz w:val="56"/>
          <w:szCs w:val="56"/>
        </w:rPr>
      </w:pPr>
    </w:p>
    <w:p w14:paraId="1E4AC255">
      <w:pPr>
        <w:spacing w:line="288" w:lineRule="auto"/>
        <w:rPr>
          <w:rFonts w:ascii="Times New Roman" w:hAnsi="Times New Roman" w:eastAsia="方正小标宋_GBK" w:cs="Times New Roman"/>
          <w:kern w:val="0"/>
          <w:sz w:val="56"/>
          <w:szCs w:val="56"/>
        </w:rPr>
      </w:pPr>
    </w:p>
    <w:p w14:paraId="717CEC20">
      <w:pPr>
        <w:spacing w:line="288" w:lineRule="auto"/>
        <w:rPr>
          <w:rFonts w:ascii="Times New Roman" w:hAnsi="Times New Roman" w:eastAsia="方正小标宋_GBK" w:cs="Times New Roman"/>
          <w:kern w:val="0"/>
          <w:sz w:val="56"/>
          <w:szCs w:val="56"/>
        </w:rPr>
      </w:pPr>
    </w:p>
    <w:p w14:paraId="3CAC7D25">
      <w:pPr>
        <w:spacing w:line="288" w:lineRule="auto"/>
        <w:rPr>
          <w:rFonts w:ascii="Times New Roman" w:hAnsi="Times New Roman" w:eastAsia="方正小标宋_GBK" w:cs="Times New Roman"/>
          <w:kern w:val="0"/>
          <w:sz w:val="56"/>
          <w:szCs w:val="56"/>
        </w:rPr>
      </w:pPr>
    </w:p>
    <w:p w14:paraId="566A6FC9">
      <w:pPr>
        <w:spacing w:line="288" w:lineRule="auto"/>
        <w:rPr>
          <w:rFonts w:ascii="Times New Roman" w:hAnsi="Times New Roman" w:eastAsia="方正小标宋_GBK" w:cs="Times New Roman"/>
          <w:kern w:val="0"/>
          <w:sz w:val="56"/>
          <w:szCs w:val="56"/>
        </w:rPr>
      </w:pPr>
    </w:p>
    <w:p w14:paraId="138B962B">
      <w:pPr>
        <w:spacing w:line="288" w:lineRule="auto"/>
        <w:rPr>
          <w:rFonts w:ascii="Times New Roman" w:hAnsi="Times New Roman" w:eastAsia="方正小标宋_GBK" w:cs="Times New Roman"/>
          <w:kern w:val="0"/>
          <w:sz w:val="56"/>
          <w:szCs w:val="56"/>
        </w:rPr>
      </w:pPr>
    </w:p>
    <w:p w14:paraId="31C8EB46">
      <w:pPr>
        <w:spacing w:line="288" w:lineRule="auto"/>
        <w:rPr>
          <w:rFonts w:ascii="Times New Roman" w:hAnsi="Times New Roman" w:eastAsia="方正小标宋_GBK" w:cs="Times New Roman"/>
          <w:kern w:val="0"/>
          <w:sz w:val="48"/>
          <w:szCs w:val="48"/>
        </w:rPr>
      </w:pPr>
    </w:p>
    <w:p w14:paraId="35F58004">
      <w:pPr>
        <w:spacing w:line="288" w:lineRule="auto"/>
        <w:jc w:val="center"/>
        <w:rPr>
          <w:rFonts w:hint="eastAsia" w:ascii="仿宋_GB2312" w:hAnsi="仿宋_GB2312" w:eastAsia="仿宋_GB2312" w:cs="仿宋_GB2312"/>
          <w:kern w:val="0"/>
          <w:sz w:val="40"/>
          <w:szCs w:val="40"/>
        </w:rPr>
      </w:pPr>
      <w:r>
        <w:rPr>
          <w:rFonts w:hint="eastAsia" w:ascii="Times New Roman" w:hAnsi="Times New Roman" w:eastAsia="仿宋_GB2312" w:cs="仿宋_GB2312"/>
          <w:kern w:val="0"/>
          <w:sz w:val="40"/>
          <w:szCs w:val="40"/>
        </w:rPr>
        <w:t>2026</w:t>
      </w:r>
      <w:r>
        <w:rPr>
          <w:rFonts w:hint="eastAsia" w:ascii="仿宋_GB2312" w:hAnsi="仿宋_GB2312" w:eastAsia="仿宋_GB2312" w:cs="仿宋_GB2312"/>
          <w:kern w:val="0"/>
          <w:sz w:val="40"/>
          <w:szCs w:val="40"/>
        </w:rPr>
        <w:t>年</w:t>
      </w:r>
      <w:r>
        <w:rPr>
          <w:rFonts w:hint="eastAsia" w:ascii="Times New Roman" w:hAnsi="Times New Roman" w:eastAsia="仿宋_GB2312" w:cs="仿宋_GB2312"/>
          <w:kern w:val="0"/>
          <w:sz w:val="40"/>
          <w:szCs w:val="40"/>
          <w:lang w:val="en-US" w:eastAsia="zh-CN"/>
        </w:rPr>
        <w:t>8</w:t>
      </w:r>
      <w:r>
        <w:rPr>
          <w:rFonts w:hint="eastAsia" w:ascii="仿宋_GB2312" w:hAnsi="仿宋_GB2312" w:eastAsia="仿宋_GB2312" w:cs="仿宋_GB2312"/>
          <w:kern w:val="0"/>
          <w:sz w:val="40"/>
          <w:szCs w:val="40"/>
        </w:rPr>
        <w:t>月</w:t>
      </w:r>
    </w:p>
    <w:p w14:paraId="5E174108">
      <w:pPr>
        <w:rPr>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br w:type="page"/>
      </w:r>
    </w:p>
    <w:p w14:paraId="27D422B6">
      <w:pPr>
        <w:keepNext w:val="0"/>
        <w:keepLines w:val="0"/>
        <w:pageBreakBefore w:val="0"/>
        <w:widowControl w:val="0"/>
        <w:kinsoku/>
        <w:wordWrap/>
        <w:overflowPunct/>
        <w:topLinePunct w:val="0"/>
        <w:autoSpaceDE/>
        <w:autoSpaceDN/>
        <w:bidi w:val="0"/>
        <w:adjustRightInd w:val="0"/>
        <w:snapToGrid w:val="0"/>
        <w:spacing w:line="700" w:lineRule="exact"/>
        <w:jc w:val="center"/>
        <w:textAlignment w:val="auto"/>
        <w:rPr>
          <w:rFonts w:hint="default" w:ascii="方正小标宋_GBK" w:hAnsi="方正小标宋_GBK" w:eastAsia="方正小标宋_GBK" w:cs="方正小标宋_GBK"/>
          <w:color w:val="000000" w:themeColor="text1"/>
          <w:spacing w:val="11"/>
          <w:sz w:val="44"/>
          <w:szCs w:val="44"/>
          <w:lang w:val="en-US" w:eastAsia="zh-CN"/>
          <w14:textFill>
            <w14:solidFill>
              <w14:schemeClr w14:val="tx1"/>
            </w14:solidFill>
          </w14:textFill>
        </w:rPr>
      </w:pPr>
      <w:bookmarkStart w:id="0" w:name="heading_0"/>
    </w:p>
    <w:p w14:paraId="58A9349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方正小标宋_GBK" w:hAnsi="方正小标宋_GBK" w:eastAsia="方正小标宋_GBK" w:cs="方正小标宋_GBK"/>
          <w:color w:val="000000" w:themeColor="text1"/>
          <w:spacing w:val="11"/>
          <w:sz w:val="44"/>
          <w:szCs w:val="44"/>
          <w:lang w:val="en-US" w:eastAsia="zh-CN"/>
          <w14:textFill>
            <w14:solidFill>
              <w14:schemeClr w14:val="tx1"/>
            </w14:solidFill>
          </w14:textFill>
        </w:rPr>
      </w:pPr>
      <w:r>
        <w:rPr>
          <w:rFonts w:hint="default" w:ascii="方正小标宋_GBK" w:hAnsi="方正小标宋_GBK" w:eastAsia="方正小标宋_GBK" w:cs="方正小标宋_GBK"/>
          <w:color w:val="000000" w:themeColor="text1"/>
          <w:spacing w:val="11"/>
          <w:sz w:val="44"/>
          <w:szCs w:val="44"/>
          <w:lang w:val="en-US" w:eastAsia="zh-CN"/>
          <w14:textFill>
            <w14:solidFill>
              <w14:schemeClr w14:val="tx1"/>
            </w14:solidFill>
          </w14:textFill>
        </w:rPr>
        <w:t>目</w:t>
      </w:r>
      <w:r>
        <w:rPr>
          <w:rFonts w:hint="eastAsia" w:ascii="方正小标宋_GBK" w:hAnsi="方正小标宋_GBK" w:eastAsia="方正小标宋_GBK" w:cs="方正小标宋_GBK"/>
          <w:color w:val="000000" w:themeColor="text1"/>
          <w:spacing w:val="11"/>
          <w:sz w:val="44"/>
          <w:szCs w:val="44"/>
          <w:lang w:val="en-US" w:eastAsia="zh-CN"/>
          <w14:textFill>
            <w14:solidFill>
              <w14:schemeClr w14:val="tx1"/>
            </w14:solidFill>
          </w14:textFill>
        </w:rPr>
        <w:t xml:space="preserve">   </w:t>
      </w:r>
      <w:r>
        <w:rPr>
          <w:rFonts w:hint="default" w:ascii="方正小标宋_GBK" w:hAnsi="方正小标宋_GBK" w:eastAsia="方正小标宋_GBK" w:cs="方正小标宋_GBK"/>
          <w:color w:val="000000" w:themeColor="text1"/>
          <w:spacing w:val="11"/>
          <w:sz w:val="44"/>
          <w:szCs w:val="44"/>
          <w:lang w:val="en-US" w:eastAsia="zh-CN"/>
          <w14:textFill>
            <w14:solidFill>
              <w14:schemeClr w14:val="tx1"/>
            </w14:solidFill>
          </w14:textFill>
        </w:rPr>
        <w:t>录</w:t>
      </w:r>
      <w:bookmarkEnd w:id="0"/>
    </w:p>
    <w:p w14:paraId="63FC6EA1">
      <w:pPr>
        <w:keepNext w:val="0"/>
        <w:keepLines w:val="0"/>
        <w:pageBreakBefore w:val="0"/>
        <w:widowControl w:val="0"/>
        <w:kinsoku/>
        <w:wordWrap/>
        <w:overflowPunct/>
        <w:topLinePunct w:val="0"/>
        <w:autoSpaceDE/>
        <w:autoSpaceDN/>
        <w:bidi w:val="0"/>
        <w:adjustRightInd w:val="0"/>
        <w:snapToGrid w:val="0"/>
        <w:spacing w:line="700" w:lineRule="exact"/>
        <w:jc w:val="center"/>
        <w:textAlignment w:val="auto"/>
        <w:rPr>
          <w:rFonts w:hint="default" w:ascii="方正小标宋_GBK" w:hAnsi="方正小标宋_GBK" w:eastAsia="方正小标宋_GBK" w:cs="方正小标宋_GBK"/>
          <w:color w:val="000000" w:themeColor="text1"/>
          <w:spacing w:val="11"/>
          <w:sz w:val="44"/>
          <w:szCs w:val="44"/>
          <w:lang w:val="en-US" w:eastAsia="zh-CN"/>
          <w14:textFill>
            <w14:solidFill>
              <w14:schemeClr w14:val="tx1"/>
            </w14:solidFill>
          </w14:textFill>
        </w:rPr>
      </w:pPr>
    </w:p>
    <w:p w14:paraId="45217F4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 xml:space="preserve">第一章  </w:t>
      </w:r>
      <w:r>
        <w:rPr>
          <w:rFonts w:hint="eastAsia" w:ascii="仿宋_GB2312" w:hAnsi="仿宋_GB2312" w:eastAsia="仿宋_GB2312" w:cs="仿宋_GB2312"/>
          <w:color w:val="000000" w:themeColor="text1"/>
          <w:kern w:val="0"/>
          <w:sz w:val="32"/>
          <w:szCs w:val="32"/>
          <w14:textFill>
            <w14:solidFill>
              <w14:schemeClr w14:val="tx1"/>
            </w14:solidFill>
          </w14:textFill>
        </w:rPr>
        <w:t>总则</w:t>
      </w:r>
    </w:p>
    <w:p w14:paraId="1D6B15B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 xml:space="preserve">第二章  </w:t>
      </w:r>
      <w:r>
        <w:rPr>
          <w:rFonts w:hint="eastAsia" w:ascii="仿宋_GB2312" w:hAnsi="仿宋_GB2312" w:eastAsia="仿宋_GB2312" w:cs="仿宋_GB2312"/>
          <w:color w:val="000000" w:themeColor="text1"/>
          <w:kern w:val="0"/>
          <w:sz w:val="32"/>
          <w:szCs w:val="32"/>
          <w14:textFill>
            <w14:solidFill>
              <w14:schemeClr w14:val="tx1"/>
            </w14:solidFill>
          </w14:textFill>
        </w:rPr>
        <w:t>医疗机构管理要求</w:t>
      </w:r>
    </w:p>
    <w:p w14:paraId="65B065AE">
      <w:pPr>
        <w:keepNext w:val="0"/>
        <w:keepLines w:val="0"/>
        <w:pageBreakBefore w:val="0"/>
        <w:widowControl w:val="0"/>
        <w:kinsoku/>
        <w:wordWrap/>
        <w:overflowPunct/>
        <w:topLinePunct w:val="0"/>
        <w:autoSpaceDE/>
        <w:autoSpaceDN/>
        <w:bidi w:val="0"/>
        <w:adjustRightInd/>
        <w:snapToGrid/>
        <w:spacing w:line="620" w:lineRule="exact"/>
        <w:ind w:left="0"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第三章</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 诊断规范</w:t>
      </w:r>
    </w:p>
    <w:p w14:paraId="427AD709">
      <w:pPr>
        <w:keepNext w:val="0"/>
        <w:keepLines w:val="0"/>
        <w:pageBreakBefore w:val="0"/>
        <w:widowControl w:val="0"/>
        <w:kinsoku/>
        <w:wordWrap/>
        <w:overflowPunct/>
        <w:topLinePunct w:val="0"/>
        <w:autoSpaceDE/>
        <w:autoSpaceDN/>
        <w:bidi w:val="0"/>
        <w:adjustRightInd/>
        <w:snapToGrid/>
        <w:spacing w:line="620" w:lineRule="exact"/>
        <w:ind w:left="0"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第四章</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 治疗规范</w:t>
      </w:r>
    </w:p>
    <w:p w14:paraId="14CB8875">
      <w:pPr>
        <w:keepNext w:val="0"/>
        <w:keepLines w:val="0"/>
        <w:pageBreakBefore w:val="0"/>
        <w:widowControl w:val="0"/>
        <w:kinsoku/>
        <w:wordWrap/>
        <w:overflowPunct/>
        <w:topLinePunct w:val="0"/>
        <w:autoSpaceDE/>
        <w:autoSpaceDN/>
        <w:bidi w:val="0"/>
        <w:adjustRightInd/>
        <w:snapToGrid/>
        <w:spacing w:line="620" w:lineRule="exact"/>
        <w:ind w:left="0"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第五章 </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住院管理规范</w:t>
      </w:r>
    </w:p>
    <w:p w14:paraId="473A8EB5">
      <w:pPr>
        <w:keepNext w:val="0"/>
        <w:keepLines w:val="0"/>
        <w:pageBreakBefore w:val="0"/>
        <w:widowControl w:val="0"/>
        <w:kinsoku/>
        <w:wordWrap/>
        <w:overflowPunct/>
        <w:topLinePunct w:val="0"/>
        <w:autoSpaceDE/>
        <w:autoSpaceDN/>
        <w:bidi w:val="0"/>
        <w:adjustRightInd/>
        <w:snapToGrid/>
        <w:spacing w:line="620" w:lineRule="exact"/>
        <w:ind w:left="0"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第六章 </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出院与康复管理</w:t>
      </w:r>
    </w:p>
    <w:p w14:paraId="1FB0C6E7">
      <w:pPr>
        <w:keepNext w:val="0"/>
        <w:keepLines w:val="0"/>
        <w:pageBreakBefore w:val="0"/>
        <w:widowControl w:val="0"/>
        <w:kinsoku/>
        <w:wordWrap/>
        <w:overflowPunct/>
        <w:topLinePunct w:val="0"/>
        <w:autoSpaceDE/>
        <w:autoSpaceDN/>
        <w:bidi w:val="0"/>
        <w:adjustRightInd/>
        <w:snapToGrid/>
        <w:spacing w:line="620" w:lineRule="exact"/>
        <w:ind w:left="0"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第七章 </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应急处置规范</w:t>
      </w:r>
    </w:p>
    <w:p w14:paraId="7C75FD26">
      <w:pPr>
        <w:keepNext w:val="0"/>
        <w:keepLines w:val="0"/>
        <w:pageBreakBefore w:val="0"/>
        <w:widowControl w:val="0"/>
        <w:kinsoku/>
        <w:wordWrap/>
        <w:overflowPunct/>
        <w:topLinePunct w:val="0"/>
        <w:autoSpaceDE/>
        <w:autoSpaceDN/>
        <w:bidi w:val="0"/>
        <w:adjustRightInd/>
        <w:snapToGrid/>
        <w:spacing w:line="620" w:lineRule="exact"/>
        <w:ind w:left="0" w:firstLine="640" w:firstLineChars="200"/>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附</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件 </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常用诊疗文书参考</w:t>
      </w:r>
    </w:p>
    <w:p w14:paraId="48DC857C">
      <w:pPr>
        <w:pStyle w:val="9"/>
        <w:rPr>
          <w:rFonts w:hint="eastAsia" w:ascii="仿宋_GB2312" w:hAnsi="仿宋_GB2312" w:eastAsia="仿宋_GB2312" w:cs="仿宋_GB2312"/>
          <w:color w:val="000000" w:themeColor="text1"/>
          <w:spacing w:val="0"/>
          <w:sz w:val="32"/>
          <w:szCs w:val="32"/>
          <w14:textFill>
            <w14:solidFill>
              <w14:schemeClr w14:val="tx1"/>
            </w14:solidFill>
          </w14:textFill>
        </w:rPr>
      </w:pPr>
    </w:p>
    <w:p w14:paraId="5F2212D3">
      <w:pPr>
        <w:rPr>
          <w:rFonts w:hint="eastAsia" w:ascii="仿宋_GB2312" w:hAnsi="仿宋_GB2312" w:eastAsia="仿宋_GB2312" w:cs="仿宋_GB2312"/>
          <w:b/>
          <w:bCs/>
          <w:snapToGrid w:val="0"/>
          <w:spacing w:val="0"/>
          <w:kern w:val="0"/>
          <w:sz w:val="30"/>
          <w:szCs w:val="30"/>
        </w:rPr>
      </w:pPr>
      <w:r>
        <w:rPr>
          <w:rFonts w:hint="eastAsia" w:ascii="仿宋_GB2312" w:hAnsi="仿宋_GB2312" w:eastAsia="仿宋_GB2312" w:cs="仿宋_GB2312"/>
          <w:b/>
          <w:bCs/>
          <w:snapToGrid w:val="0"/>
          <w:spacing w:val="0"/>
          <w:kern w:val="0"/>
          <w:sz w:val="30"/>
          <w:szCs w:val="30"/>
        </w:rPr>
        <w:br w:type="page"/>
      </w:r>
    </w:p>
    <w:p w14:paraId="2901AA5A">
      <w:pPr>
        <w:keepNext w:val="0"/>
        <w:keepLines w:val="0"/>
        <w:pageBreakBefore w:val="0"/>
        <w:widowControl w:val="0"/>
        <w:kinsoku/>
        <w:wordWrap/>
        <w:overflowPunct/>
        <w:topLinePunct w:val="0"/>
        <w:autoSpaceDE/>
        <w:autoSpaceDN/>
        <w:bidi w:val="0"/>
        <w:adjustRightInd/>
        <w:snapToGrid/>
        <w:spacing w:line="706" w:lineRule="exact"/>
        <w:ind w:firstLine="0" w:firstLineChars="0"/>
        <w:jc w:val="center"/>
        <w:textAlignment w:val="auto"/>
        <w:rPr>
          <w:rFonts w:hint="eastAsia" w:ascii="仿宋_GB2312" w:hAnsi="仿宋_GB2312" w:eastAsia="仿宋_GB2312" w:cs="仿宋_GB2312"/>
          <w:b/>
          <w:bCs/>
          <w:snapToGrid w:val="0"/>
          <w:spacing w:val="0"/>
          <w:kern w:val="0"/>
          <w:sz w:val="30"/>
          <w:szCs w:val="30"/>
        </w:rPr>
      </w:pPr>
    </w:p>
    <w:p w14:paraId="4F2ACF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小标宋_GBK" w:hAnsi="方正小标宋_GBK" w:eastAsia="方正小标宋_GBK" w:cs="方正小标宋_GBK"/>
          <w:color w:val="000000" w:themeColor="text1"/>
          <w:spacing w:val="11"/>
          <w:sz w:val="44"/>
          <w:szCs w:val="44"/>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pacing w:val="11"/>
          <w:sz w:val="44"/>
          <w:szCs w:val="44"/>
          <w:lang w:val="en-US" w:eastAsia="zh-CN"/>
          <w14:textFill>
            <w14:solidFill>
              <w14:schemeClr w14:val="tx1"/>
            </w14:solidFill>
          </w14:textFill>
        </w:rPr>
        <w:t>第一章  总  则</w:t>
      </w:r>
    </w:p>
    <w:p w14:paraId="596B1092">
      <w:pPr>
        <w:keepNext w:val="0"/>
        <w:keepLines w:val="0"/>
        <w:pageBreakBefore w:val="0"/>
        <w:widowControl w:val="0"/>
        <w:kinsoku/>
        <w:wordWrap/>
        <w:overflowPunct/>
        <w:topLinePunct w:val="0"/>
        <w:autoSpaceDE/>
        <w:autoSpaceDN/>
        <w:bidi w:val="0"/>
        <w:adjustRightInd/>
        <w:snapToGrid/>
        <w:spacing w:line="606" w:lineRule="exact"/>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p>
    <w:p w14:paraId="3B269D67">
      <w:pPr>
        <w:keepNext w:val="0"/>
        <w:keepLines w:val="0"/>
        <w:pageBreakBefore w:val="0"/>
        <w:widowControl w:val="0"/>
        <w:kinsoku/>
        <w:wordWrap/>
        <w:overflowPunct/>
        <w:topLinePunct w:val="0"/>
        <w:autoSpaceDE/>
        <w:autoSpaceDN/>
        <w:bidi w:val="0"/>
        <w:adjustRightInd/>
        <w:snapToGrid/>
        <w:spacing w:line="606" w:lineRule="exact"/>
        <w:ind w:firstLine="640" w:firstLineChars="200"/>
        <w:textAlignment w:val="auto"/>
        <w:rPr>
          <w:rFonts w:hint="eastAsia" w:ascii="黑体" w:hAnsi="黑体" w:eastAsia="黑体" w:cs="黑体"/>
          <w:color w:val="000000" w:themeColor="text1"/>
          <w:kern w:val="0"/>
          <w:sz w:val="32"/>
          <w:szCs w:val="32"/>
          <w14:textFill>
            <w14:solidFill>
              <w14:schemeClr w14:val="tx1"/>
            </w14:solidFill>
          </w14:textFill>
        </w:rPr>
      </w:pPr>
      <w:bookmarkStart w:id="1" w:name="heading_2"/>
      <w:r>
        <w:rPr>
          <w:rFonts w:hint="eastAsia" w:ascii="黑体" w:hAnsi="黑体" w:eastAsia="黑体" w:cs="黑体"/>
          <w:color w:val="000000" w:themeColor="text1"/>
          <w:kern w:val="0"/>
          <w:sz w:val="32"/>
          <w:szCs w:val="32"/>
          <w14:textFill>
            <w14:solidFill>
              <w14:schemeClr w14:val="tx1"/>
            </w14:solidFill>
          </w14:textFill>
        </w:rPr>
        <w:t>一、制定依据</w:t>
      </w:r>
      <w:bookmarkEnd w:id="1"/>
    </w:p>
    <w:p w14:paraId="677F2C12">
      <w:pPr>
        <w:keepNext w:val="0"/>
        <w:keepLines w:val="0"/>
        <w:pageBreakBefore w:val="0"/>
        <w:widowControl w:val="0"/>
        <w:kinsoku/>
        <w:wordWrap/>
        <w:overflowPunct/>
        <w:topLinePunct w:val="0"/>
        <w:autoSpaceDE/>
        <w:autoSpaceDN/>
        <w:bidi w:val="0"/>
        <w:adjustRightInd/>
        <w:snapToGrid/>
        <w:spacing w:line="606" w:lineRule="exact"/>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为规范湖北省精神障碍诊疗行为，提高医疗质量，保障患者安全与合法权益，促进患者康复与回归社会，根据《中华人民共和国精神卫生法》《医疗机构管理条例》《医疗质量管理办法》及国家卫生健康委员会《严重精神障碍管理治疗工作规范（</w:t>
      </w:r>
      <w:r>
        <w:rPr>
          <w:rFonts w:hint="eastAsia" w:ascii="Times New Roman" w:hAnsi="Times New Roman" w:eastAsia="仿宋_GB2312" w:cs="仿宋_GB2312"/>
          <w:color w:val="000000" w:themeColor="text1"/>
          <w:kern w:val="0"/>
          <w:sz w:val="32"/>
          <w:szCs w:val="32"/>
          <w14:textFill>
            <w14:solidFill>
              <w14:schemeClr w14:val="tx1"/>
            </w14:solidFill>
          </w14:textFill>
        </w:rPr>
        <w:t>2018</w:t>
      </w:r>
      <w:r>
        <w:rPr>
          <w:rFonts w:hint="eastAsia" w:ascii="仿宋_GB2312" w:hAnsi="仿宋_GB2312" w:eastAsia="仿宋_GB2312" w:cs="仿宋_GB2312"/>
          <w:color w:val="000000" w:themeColor="text1"/>
          <w:kern w:val="0"/>
          <w:sz w:val="32"/>
          <w:szCs w:val="32"/>
          <w14:textFill>
            <w14:solidFill>
              <w14:schemeClr w14:val="tx1"/>
            </w14:solidFill>
          </w14:textFill>
        </w:rPr>
        <w:t>年版）》《精神障碍诊疗规范（</w:t>
      </w:r>
      <w:r>
        <w:rPr>
          <w:rFonts w:hint="eastAsia" w:ascii="Times New Roman" w:hAnsi="Times New Roman" w:eastAsia="仿宋_GB2312" w:cs="仿宋_GB2312"/>
          <w:color w:val="000000" w:themeColor="text1"/>
          <w:kern w:val="0"/>
          <w:sz w:val="32"/>
          <w:szCs w:val="32"/>
          <w14:textFill>
            <w14:solidFill>
              <w14:schemeClr w14:val="tx1"/>
            </w14:solidFill>
          </w14:textFill>
        </w:rPr>
        <w:t>2020</w:t>
      </w:r>
      <w:r>
        <w:rPr>
          <w:rFonts w:hint="eastAsia" w:ascii="仿宋_GB2312" w:hAnsi="仿宋_GB2312" w:eastAsia="仿宋_GB2312" w:cs="仿宋_GB2312"/>
          <w:color w:val="000000" w:themeColor="text1"/>
          <w:kern w:val="0"/>
          <w:sz w:val="32"/>
          <w:szCs w:val="32"/>
          <w14:textFill>
            <w14:solidFill>
              <w14:schemeClr w14:val="tx1"/>
            </w14:solidFill>
          </w14:textFill>
        </w:rPr>
        <w:t>年版）》等法律法规和规范性文件，结合本省实际，制定本规范。</w:t>
      </w:r>
    </w:p>
    <w:p w14:paraId="5DD91EB0">
      <w:pPr>
        <w:keepNext w:val="0"/>
        <w:keepLines w:val="0"/>
        <w:pageBreakBefore w:val="0"/>
        <w:widowControl w:val="0"/>
        <w:kinsoku/>
        <w:wordWrap/>
        <w:overflowPunct/>
        <w:topLinePunct w:val="0"/>
        <w:autoSpaceDE/>
        <w:autoSpaceDN/>
        <w:bidi w:val="0"/>
        <w:adjustRightInd/>
        <w:snapToGrid/>
        <w:spacing w:line="606" w:lineRule="exact"/>
        <w:ind w:firstLine="640" w:firstLineChars="200"/>
        <w:textAlignment w:val="auto"/>
        <w:rPr>
          <w:rFonts w:hint="eastAsia" w:ascii="黑体" w:hAnsi="黑体" w:eastAsia="黑体" w:cs="黑体"/>
          <w:color w:val="000000" w:themeColor="text1"/>
          <w:kern w:val="0"/>
          <w:sz w:val="32"/>
          <w:szCs w:val="32"/>
          <w14:textFill>
            <w14:solidFill>
              <w14:schemeClr w14:val="tx1"/>
            </w14:solidFill>
          </w14:textFill>
        </w:rPr>
      </w:pPr>
      <w:bookmarkStart w:id="2" w:name="heading_3"/>
      <w:r>
        <w:rPr>
          <w:rFonts w:hint="eastAsia" w:ascii="黑体" w:hAnsi="黑体" w:eastAsia="黑体" w:cs="黑体"/>
          <w:color w:val="000000" w:themeColor="text1"/>
          <w:kern w:val="0"/>
          <w:sz w:val="32"/>
          <w:szCs w:val="32"/>
          <w14:textFill>
            <w14:solidFill>
              <w14:schemeClr w14:val="tx1"/>
            </w14:solidFill>
          </w14:textFill>
        </w:rPr>
        <w:t>二、适用范围</w:t>
      </w:r>
      <w:bookmarkEnd w:id="2"/>
    </w:p>
    <w:p w14:paraId="138EAEBA">
      <w:pPr>
        <w:keepNext w:val="0"/>
        <w:keepLines w:val="0"/>
        <w:pageBreakBefore w:val="0"/>
        <w:widowControl w:val="0"/>
        <w:kinsoku/>
        <w:wordWrap/>
        <w:overflowPunct/>
        <w:topLinePunct w:val="0"/>
        <w:autoSpaceDE/>
        <w:autoSpaceDN/>
        <w:bidi w:val="0"/>
        <w:adjustRightInd/>
        <w:snapToGrid/>
        <w:spacing w:line="606" w:lineRule="exact"/>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本规范适用于湖北省内各级各类开展精神障碍诊疗服务的精神卫生医疗机构（包括精神专科医院、其他</w:t>
      </w:r>
      <w:r>
        <w:rPr>
          <w:rFonts w:hint="eastAsia" w:ascii="仿宋_GB2312" w:hAnsi="仿宋_GB2312" w:eastAsia="仿宋_GB2312" w:cs="仿宋_GB2312"/>
          <w:color w:val="000000" w:themeColor="text1"/>
          <w:sz w:val="32"/>
          <w:szCs w:val="32"/>
          <w14:textFill>
            <w14:solidFill>
              <w14:schemeClr w14:val="tx1"/>
            </w14:solidFill>
          </w14:textFill>
        </w:rPr>
        <w:t>医疗机构</w:t>
      </w:r>
      <w:r>
        <w:rPr>
          <w:rFonts w:hint="eastAsia" w:ascii="仿宋_GB2312" w:hAnsi="仿宋_GB2312" w:eastAsia="仿宋_GB2312" w:cs="仿宋_GB2312"/>
          <w:color w:val="000000" w:themeColor="text1"/>
          <w:kern w:val="0"/>
          <w:sz w:val="32"/>
          <w:szCs w:val="32"/>
          <w14:textFill>
            <w14:solidFill>
              <w14:schemeClr w14:val="tx1"/>
            </w14:solidFill>
          </w14:textFill>
        </w:rPr>
        <w:t>精神</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科或</w:t>
      </w:r>
      <w:r>
        <w:rPr>
          <w:rFonts w:hint="eastAsia" w:ascii="仿宋_GB2312" w:hAnsi="仿宋_GB2312" w:eastAsia="仿宋_GB2312" w:cs="仿宋_GB2312"/>
          <w:color w:val="000000" w:themeColor="text1"/>
          <w:kern w:val="0"/>
          <w:sz w:val="32"/>
          <w:szCs w:val="32"/>
          <w14:textFill>
            <w14:solidFill>
              <w14:schemeClr w14:val="tx1"/>
            </w14:solidFill>
          </w14:textFill>
        </w:rPr>
        <w:t>心理科）及其医务人员。</w:t>
      </w:r>
    </w:p>
    <w:p w14:paraId="0F4013B6">
      <w:pPr>
        <w:keepNext w:val="0"/>
        <w:keepLines w:val="0"/>
        <w:pageBreakBefore w:val="0"/>
        <w:widowControl w:val="0"/>
        <w:kinsoku/>
        <w:wordWrap/>
        <w:overflowPunct/>
        <w:topLinePunct w:val="0"/>
        <w:autoSpaceDE/>
        <w:autoSpaceDN/>
        <w:bidi w:val="0"/>
        <w:adjustRightInd/>
        <w:snapToGrid/>
        <w:spacing w:line="606" w:lineRule="exact"/>
        <w:ind w:firstLine="640" w:firstLineChars="200"/>
        <w:textAlignment w:val="auto"/>
        <w:rPr>
          <w:rFonts w:hint="eastAsia" w:ascii="黑体" w:hAnsi="黑体" w:eastAsia="黑体" w:cs="黑体"/>
          <w:color w:val="000000" w:themeColor="text1"/>
          <w:kern w:val="0"/>
          <w:sz w:val="32"/>
          <w:szCs w:val="32"/>
          <w14:textFill>
            <w14:solidFill>
              <w14:schemeClr w14:val="tx1"/>
            </w14:solidFill>
          </w14:textFill>
        </w:rPr>
      </w:pPr>
      <w:bookmarkStart w:id="3" w:name="heading_4"/>
      <w:r>
        <w:rPr>
          <w:rFonts w:hint="eastAsia" w:ascii="黑体" w:hAnsi="黑体" w:eastAsia="黑体" w:cs="黑体"/>
          <w:color w:val="000000" w:themeColor="text1"/>
          <w:kern w:val="0"/>
          <w:sz w:val="32"/>
          <w:szCs w:val="32"/>
          <w14:textFill>
            <w14:solidFill>
              <w14:schemeClr w14:val="tx1"/>
            </w14:solidFill>
          </w14:textFill>
        </w:rPr>
        <w:t>三、核心原则</w:t>
      </w:r>
      <w:bookmarkEnd w:id="3"/>
    </w:p>
    <w:p w14:paraId="1EB073A2">
      <w:pPr>
        <w:keepNext w:val="0"/>
        <w:keepLines w:val="0"/>
        <w:pageBreakBefore w:val="0"/>
        <w:widowControl w:val="0"/>
        <w:kinsoku/>
        <w:wordWrap/>
        <w:overflowPunct/>
        <w:topLinePunct w:val="0"/>
        <w:autoSpaceDE/>
        <w:autoSpaceDN/>
        <w:bidi w:val="0"/>
        <w:adjustRightInd/>
        <w:snapToGrid/>
        <w:spacing w:line="606" w:lineRule="exact"/>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精神障碍诊疗工作应遵循以下基本原则：</w:t>
      </w:r>
    </w:p>
    <w:p w14:paraId="410D3B03">
      <w:pPr>
        <w:keepNext w:val="0"/>
        <w:keepLines w:val="0"/>
        <w:pageBreakBefore w:val="0"/>
        <w:widowControl w:val="0"/>
        <w:numPr>
          <w:ilvl w:val="0"/>
          <w:numId w:val="0"/>
        </w:numPr>
        <w:kinsoku/>
        <w:wordWrap/>
        <w:overflowPunct/>
        <w:topLinePunct w:val="0"/>
        <w:autoSpaceDE/>
        <w:autoSpaceDN/>
        <w:bidi w:val="0"/>
        <w:adjustRightInd/>
        <w:snapToGrid/>
        <w:spacing w:line="606" w:lineRule="exact"/>
        <w:ind w:firstLine="640" w:firstLineChars="200"/>
        <w:textAlignment w:val="auto"/>
        <w:rPr>
          <w:rFonts w:hint="eastAsia" w:ascii="楷体_GB2312" w:hAnsi="楷体_GB2312" w:eastAsia="楷体_GB2312" w:cs="楷体_GB2312"/>
          <w:color w:val="000000" w:themeColor="text1"/>
          <w:kern w:val="0"/>
          <w:sz w:val="32"/>
          <w:szCs w:val="32"/>
          <w14:textFill>
            <w14:solidFill>
              <w14:schemeClr w14:val="tx1"/>
            </w14:solidFill>
          </w14:textFill>
        </w:rPr>
      </w:pPr>
      <w:r>
        <w:rPr>
          <w:rFonts w:hint="eastAsia" w:ascii="楷体_GB2312" w:hAnsi="楷体_GB2312" w:eastAsia="楷体_GB2312" w:cs="楷体_GB2312"/>
          <w:color w:val="000000" w:themeColor="text1"/>
          <w:kern w:val="0"/>
          <w:sz w:val="32"/>
          <w:szCs w:val="32"/>
          <w:lang w:val="en-US" w:eastAsia="zh-CN" w:bidi="ar-SA"/>
          <w14:textFill>
            <w14:solidFill>
              <w14:schemeClr w14:val="tx1"/>
            </w14:solidFill>
          </w14:textFill>
        </w:rPr>
        <w:t>（一）</w:t>
      </w:r>
      <w:r>
        <w:rPr>
          <w:rFonts w:hint="eastAsia" w:ascii="楷体_GB2312" w:hAnsi="楷体_GB2312" w:eastAsia="楷体_GB2312" w:cs="楷体_GB2312"/>
          <w:color w:val="000000" w:themeColor="text1"/>
          <w:kern w:val="0"/>
          <w:sz w:val="32"/>
          <w:szCs w:val="32"/>
          <w14:textFill>
            <w14:solidFill>
              <w14:schemeClr w14:val="tx1"/>
            </w14:solidFill>
          </w14:textFill>
        </w:rPr>
        <w:t>依法执业原则</w:t>
      </w:r>
    </w:p>
    <w:p w14:paraId="26587FA3">
      <w:pPr>
        <w:keepNext w:val="0"/>
        <w:keepLines w:val="0"/>
        <w:pageBreakBefore w:val="0"/>
        <w:widowControl w:val="0"/>
        <w:kinsoku/>
        <w:wordWrap/>
        <w:overflowPunct/>
        <w:topLinePunct w:val="0"/>
        <w:autoSpaceDE/>
        <w:autoSpaceDN/>
        <w:bidi w:val="0"/>
        <w:adjustRightInd/>
        <w:snapToGrid/>
        <w:spacing w:line="606" w:lineRule="exact"/>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所有诊疗行为必须</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具有</w:t>
      </w:r>
      <w:r>
        <w:rPr>
          <w:rFonts w:hint="eastAsia" w:ascii="仿宋_GB2312" w:hAnsi="仿宋_GB2312" w:eastAsia="仿宋_GB2312" w:cs="仿宋_GB2312"/>
          <w:color w:val="000000" w:themeColor="text1"/>
          <w:kern w:val="0"/>
          <w:sz w:val="32"/>
          <w:szCs w:val="32"/>
          <w14:textFill>
            <w14:solidFill>
              <w14:schemeClr w14:val="tx1"/>
            </w14:solidFill>
          </w14:textFill>
        </w:rPr>
        <w:t>明确的法律</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法规</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依据</w:t>
      </w:r>
      <w:r>
        <w:rPr>
          <w:rFonts w:hint="eastAsia" w:ascii="仿宋_GB2312" w:hAnsi="仿宋_GB2312" w:eastAsia="仿宋_GB2312" w:cs="仿宋_GB2312"/>
          <w:color w:val="000000" w:themeColor="text1"/>
          <w:kern w:val="0"/>
          <w:sz w:val="32"/>
          <w:szCs w:val="32"/>
          <w14:textFill>
            <w14:solidFill>
              <w14:schemeClr w14:val="tx1"/>
            </w14:solidFill>
          </w14:textFill>
        </w:rPr>
        <w:t>，严禁创设无上位法律</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法规</w:t>
      </w:r>
      <w:r>
        <w:rPr>
          <w:rFonts w:hint="eastAsia" w:ascii="仿宋_GB2312" w:hAnsi="仿宋_GB2312" w:eastAsia="仿宋_GB2312" w:cs="仿宋_GB2312"/>
          <w:color w:val="000000" w:themeColor="text1"/>
          <w:kern w:val="0"/>
          <w:sz w:val="32"/>
          <w:szCs w:val="32"/>
          <w14:textFill>
            <w14:solidFill>
              <w14:schemeClr w14:val="tx1"/>
            </w14:solidFill>
          </w14:textFill>
        </w:rPr>
        <w:t>支撑的管理要求和准入条件。</w:t>
      </w:r>
    </w:p>
    <w:p w14:paraId="5834D9CE">
      <w:pPr>
        <w:keepNext w:val="0"/>
        <w:keepLines w:val="0"/>
        <w:pageBreakBefore w:val="0"/>
        <w:widowControl w:val="0"/>
        <w:numPr>
          <w:ilvl w:val="0"/>
          <w:numId w:val="0"/>
        </w:numPr>
        <w:kinsoku/>
        <w:wordWrap/>
        <w:overflowPunct/>
        <w:topLinePunct w:val="0"/>
        <w:autoSpaceDE/>
        <w:autoSpaceDN/>
        <w:bidi w:val="0"/>
        <w:adjustRightInd/>
        <w:snapToGrid/>
        <w:spacing w:line="606" w:lineRule="exact"/>
        <w:ind w:firstLine="640" w:firstLineChars="200"/>
        <w:textAlignment w:val="auto"/>
        <w:rPr>
          <w:rFonts w:hint="eastAsia" w:ascii="楷体_GB2312" w:hAnsi="楷体_GB2312" w:eastAsia="楷体_GB2312" w:cs="楷体_GB2312"/>
          <w:color w:val="000000" w:themeColor="text1"/>
          <w:kern w:val="0"/>
          <w:sz w:val="32"/>
          <w:szCs w:val="32"/>
          <w:lang w:val="en-US" w:eastAsia="zh-CN" w:bidi="ar-SA"/>
          <w14:textFill>
            <w14:solidFill>
              <w14:schemeClr w14:val="tx1"/>
            </w14:solidFill>
          </w14:textFill>
        </w:rPr>
      </w:pPr>
      <w:r>
        <w:rPr>
          <w:rFonts w:hint="eastAsia" w:ascii="楷体_GB2312" w:hAnsi="楷体_GB2312" w:eastAsia="楷体_GB2312" w:cs="楷体_GB2312"/>
          <w:color w:val="000000" w:themeColor="text1"/>
          <w:kern w:val="0"/>
          <w:sz w:val="32"/>
          <w:szCs w:val="32"/>
          <w:lang w:val="en-US" w:eastAsia="zh-CN" w:bidi="ar-SA"/>
          <w14:textFill>
            <w14:solidFill>
              <w14:schemeClr w14:val="tx1"/>
            </w14:solidFill>
          </w14:textFill>
        </w:rPr>
        <w:t>（二）尊重与隐私保护原则</w:t>
      </w:r>
    </w:p>
    <w:p w14:paraId="2595C8A0">
      <w:pPr>
        <w:keepNext w:val="0"/>
        <w:keepLines w:val="0"/>
        <w:pageBreakBefore w:val="0"/>
        <w:widowControl w:val="0"/>
        <w:kinsoku/>
        <w:wordWrap/>
        <w:overflowPunct/>
        <w:topLinePunct w:val="0"/>
        <w:autoSpaceDE/>
        <w:autoSpaceDN/>
        <w:bidi w:val="0"/>
        <w:adjustRightInd/>
        <w:snapToGrid/>
        <w:spacing w:line="606" w:lineRule="exact"/>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尊重患者的人格尊严、人身安全和个人隐私，保障其合法权益。</w:t>
      </w:r>
    </w:p>
    <w:p w14:paraId="2ABE4C95">
      <w:pPr>
        <w:keepNext w:val="0"/>
        <w:keepLines w:val="0"/>
        <w:pageBreakBefore w:val="0"/>
        <w:widowControl w:val="0"/>
        <w:numPr>
          <w:ilvl w:val="0"/>
          <w:numId w:val="0"/>
        </w:numPr>
        <w:kinsoku/>
        <w:wordWrap/>
        <w:overflowPunct/>
        <w:topLinePunct w:val="0"/>
        <w:autoSpaceDE/>
        <w:autoSpaceDN/>
        <w:bidi w:val="0"/>
        <w:adjustRightInd/>
        <w:snapToGrid/>
        <w:spacing w:line="606" w:lineRule="exact"/>
        <w:ind w:firstLine="640" w:firstLineChars="200"/>
        <w:textAlignment w:val="auto"/>
        <w:rPr>
          <w:rFonts w:hint="eastAsia" w:ascii="楷体_GB2312" w:hAnsi="楷体_GB2312" w:eastAsia="楷体_GB2312" w:cs="楷体_GB2312"/>
          <w:color w:val="000000" w:themeColor="text1"/>
          <w:kern w:val="0"/>
          <w:sz w:val="32"/>
          <w:szCs w:val="32"/>
          <w:lang w:val="en-US" w:eastAsia="zh-CN" w:bidi="ar-SA"/>
          <w14:textFill>
            <w14:solidFill>
              <w14:schemeClr w14:val="tx1"/>
            </w14:solidFill>
          </w14:textFill>
        </w:rPr>
      </w:pPr>
      <w:r>
        <w:rPr>
          <w:rFonts w:hint="eastAsia" w:ascii="楷体_GB2312" w:hAnsi="楷体_GB2312" w:eastAsia="楷体_GB2312" w:cs="楷体_GB2312"/>
          <w:color w:val="000000" w:themeColor="text1"/>
          <w:kern w:val="0"/>
          <w:sz w:val="32"/>
          <w:szCs w:val="32"/>
          <w:lang w:val="en-US" w:eastAsia="zh-CN" w:bidi="ar-SA"/>
          <w14:textFill>
            <w14:solidFill>
              <w14:schemeClr w14:val="tx1"/>
            </w14:solidFill>
          </w14:textFill>
        </w:rPr>
        <w:t>（三）科学与规范原则</w:t>
      </w:r>
    </w:p>
    <w:p w14:paraId="0D2F71C9">
      <w:pPr>
        <w:keepNext w:val="0"/>
        <w:keepLines w:val="0"/>
        <w:pageBreakBefore w:val="0"/>
        <w:widowControl w:val="0"/>
        <w:kinsoku/>
        <w:wordWrap/>
        <w:overflowPunct/>
        <w:topLinePunct w:val="0"/>
        <w:autoSpaceDE/>
        <w:autoSpaceDN/>
        <w:bidi w:val="0"/>
        <w:adjustRightInd/>
        <w:snapToGrid/>
        <w:spacing w:line="606" w:lineRule="exact"/>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遵循医学伦理和诊疗规范，以科学证据为基础实施诊断与治疗。</w:t>
      </w:r>
    </w:p>
    <w:p w14:paraId="0E0BF194">
      <w:pPr>
        <w:keepNext w:val="0"/>
        <w:keepLines w:val="0"/>
        <w:pageBreakBefore w:val="0"/>
        <w:widowControl w:val="0"/>
        <w:numPr>
          <w:ilvl w:val="0"/>
          <w:numId w:val="0"/>
        </w:numPr>
        <w:kinsoku/>
        <w:wordWrap/>
        <w:overflowPunct/>
        <w:topLinePunct w:val="0"/>
        <w:autoSpaceDE/>
        <w:autoSpaceDN/>
        <w:bidi w:val="0"/>
        <w:adjustRightInd/>
        <w:snapToGrid/>
        <w:spacing w:line="606" w:lineRule="exact"/>
        <w:ind w:firstLine="640" w:firstLineChars="200"/>
        <w:textAlignment w:val="auto"/>
        <w:rPr>
          <w:rFonts w:hint="eastAsia" w:ascii="楷体_GB2312" w:hAnsi="楷体_GB2312" w:eastAsia="楷体_GB2312" w:cs="楷体_GB2312"/>
          <w:color w:val="000000" w:themeColor="text1"/>
          <w:kern w:val="0"/>
          <w:sz w:val="32"/>
          <w:szCs w:val="32"/>
          <w:lang w:val="en-US" w:eastAsia="zh-CN" w:bidi="ar-SA"/>
          <w14:textFill>
            <w14:solidFill>
              <w14:schemeClr w14:val="tx1"/>
            </w14:solidFill>
          </w14:textFill>
        </w:rPr>
      </w:pPr>
      <w:r>
        <w:rPr>
          <w:rFonts w:hint="eastAsia" w:ascii="楷体_GB2312" w:hAnsi="楷体_GB2312" w:eastAsia="楷体_GB2312" w:cs="楷体_GB2312"/>
          <w:color w:val="000000" w:themeColor="text1"/>
          <w:kern w:val="0"/>
          <w:sz w:val="32"/>
          <w:szCs w:val="32"/>
          <w:lang w:val="en-US" w:eastAsia="zh-CN" w:bidi="ar-SA"/>
          <w14:textFill>
            <w14:solidFill>
              <w14:schemeClr w14:val="tx1"/>
            </w14:solidFill>
          </w14:textFill>
        </w:rPr>
        <w:t>（四）安全与适宜原则</w:t>
      </w:r>
    </w:p>
    <w:p w14:paraId="7B9B0355">
      <w:pPr>
        <w:keepNext w:val="0"/>
        <w:keepLines w:val="0"/>
        <w:pageBreakBefore w:val="0"/>
        <w:widowControl w:val="0"/>
        <w:kinsoku/>
        <w:wordWrap/>
        <w:overflowPunct/>
        <w:topLinePunct w:val="0"/>
        <w:autoSpaceDE/>
        <w:autoSpaceDN/>
        <w:bidi w:val="0"/>
        <w:adjustRightInd/>
        <w:snapToGrid/>
        <w:spacing w:line="606" w:lineRule="exact"/>
        <w:ind w:firstLine="640" w:firstLineChars="200"/>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选择对患者最有利、创伤最小、风险最低的</w:t>
      </w:r>
      <w:r>
        <w:rPr>
          <w:rFonts w:hint="eastAsia" w:ascii="仿宋_GB2312" w:hAnsi="仿宋_GB2312" w:eastAsia="仿宋_GB2312" w:cs="仿宋_GB2312"/>
          <w:color w:val="000000" w:themeColor="text1"/>
          <w:spacing w:val="0"/>
          <w:kern w:val="0"/>
          <w:sz w:val="32"/>
          <w:szCs w:val="32"/>
          <w:lang w:val="en-US" w:eastAsia="zh-CN"/>
          <w14:textFill>
            <w14:solidFill>
              <w14:schemeClr w14:val="tx1"/>
            </w14:solidFill>
          </w14:textFill>
        </w:rPr>
        <w:t>个性化</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诊疗方案。</w:t>
      </w:r>
    </w:p>
    <w:p w14:paraId="2083A12C">
      <w:pPr>
        <w:keepNext w:val="0"/>
        <w:keepLines w:val="0"/>
        <w:pageBreakBefore w:val="0"/>
        <w:widowControl w:val="0"/>
        <w:numPr>
          <w:ilvl w:val="0"/>
          <w:numId w:val="0"/>
        </w:numPr>
        <w:kinsoku/>
        <w:wordWrap/>
        <w:overflowPunct/>
        <w:topLinePunct w:val="0"/>
        <w:autoSpaceDE/>
        <w:autoSpaceDN/>
        <w:bidi w:val="0"/>
        <w:adjustRightInd/>
        <w:snapToGrid/>
        <w:spacing w:line="606" w:lineRule="exact"/>
        <w:ind w:firstLine="640" w:firstLineChars="200"/>
        <w:textAlignment w:val="auto"/>
        <w:rPr>
          <w:rFonts w:hint="eastAsia" w:ascii="楷体_GB2312" w:hAnsi="楷体_GB2312" w:eastAsia="楷体_GB2312" w:cs="楷体_GB2312"/>
          <w:color w:val="000000" w:themeColor="text1"/>
          <w:kern w:val="0"/>
          <w:sz w:val="32"/>
          <w:szCs w:val="32"/>
          <w:lang w:val="en-US" w:eastAsia="zh-CN" w:bidi="ar-SA"/>
          <w14:textFill>
            <w14:solidFill>
              <w14:schemeClr w14:val="tx1"/>
            </w14:solidFill>
          </w14:textFill>
        </w:rPr>
      </w:pPr>
      <w:r>
        <w:rPr>
          <w:rFonts w:hint="eastAsia" w:ascii="楷体_GB2312" w:hAnsi="楷体_GB2312" w:eastAsia="楷体_GB2312" w:cs="楷体_GB2312"/>
          <w:color w:val="000000" w:themeColor="text1"/>
          <w:kern w:val="0"/>
          <w:sz w:val="32"/>
          <w:szCs w:val="32"/>
          <w:lang w:val="en-US" w:eastAsia="zh-CN" w:bidi="ar-SA"/>
          <w14:textFill>
            <w14:solidFill>
              <w14:schemeClr w14:val="tx1"/>
            </w14:solidFill>
          </w14:textFill>
        </w:rPr>
        <w:t>（五）知情与同意原则</w:t>
      </w:r>
    </w:p>
    <w:p w14:paraId="14392825">
      <w:pPr>
        <w:keepNext w:val="0"/>
        <w:keepLines w:val="0"/>
        <w:pageBreakBefore w:val="0"/>
        <w:widowControl w:val="0"/>
        <w:kinsoku/>
        <w:wordWrap/>
        <w:overflowPunct/>
        <w:topLinePunct w:val="0"/>
        <w:autoSpaceDE/>
        <w:autoSpaceDN/>
        <w:bidi w:val="0"/>
        <w:adjustRightInd/>
        <w:snapToGrid/>
        <w:spacing w:line="606" w:lineRule="exact"/>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医务人员在诊疗活动中应当</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依法依规</w:t>
      </w:r>
      <w:r>
        <w:rPr>
          <w:rFonts w:hint="eastAsia" w:ascii="仿宋_GB2312" w:hAnsi="仿宋_GB2312" w:eastAsia="仿宋_GB2312" w:cs="仿宋_GB2312"/>
          <w:color w:val="000000" w:themeColor="text1"/>
          <w:kern w:val="0"/>
          <w:sz w:val="32"/>
          <w:szCs w:val="32"/>
          <w14:textFill>
            <w14:solidFill>
              <w14:schemeClr w14:val="tx1"/>
            </w14:solidFill>
          </w14:textFill>
        </w:rPr>
        <w:t>向患者</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和/或</w:t>
      </w:r>
      <w:r>
        <w:rPr>
          <w:rFonts w:hint="eastAsia" w:ascii="仿宋_GB2312" w:hAnsi="仿宋_GB2312" w:eastAsia="仿宋_GB2312" w:cs="仿宋_GB2312"/>
          <w:color w:val="000000" w:themeColor="text1"/>
          <w:kern w:val="0"/>
          <w:sz w:val="32"/>
          <w:szCs w:val="32"/>
          <w14:textFill>
            <w14:solidFill>
              <w14:schemeClr w14:val="tx1"/>
            </w14:solidFill>
          </w14:textFill>
        </w:rPr>
        <w:t>其监护人说明病情和医疗措施，保障患者及其监护人的知情权。实施手术、特殊检查、特殊治疗等高风险诊疗行为的，应当依照规定向患者或者其监护人具体说明医疗风险、替代医疗方案等情况，并取得其书面知情同意；法律、行政法规另有规定的情形除外。</w:t>
      </w:r>
    </w:p>
    <w:p w14:paraId="7078EC0D">
      <w:pPr>
        <w:keepNext w:val="0"/>
        <w:keepLines w:val="0"/>
        <w:pageBreakBefore w:val="0"/>
        <w:widowControl w:val="0"/>
        <w:numPr>
          <w:ilvl w:val="0"/>
          <w:numId w:val="0"/>
        </w:numPr>
        <w:kinsoku/>
        <w:wordWrap/>
        <w:overflowPunct/>
        <w:topLinePunct w:val="0"/>
        <w:autoSpaceDE/>
        <w:autoSpaceDN/>
        <w:bidi w:val="0"/>
        <w:adjustRightInd/>
        <w:snapToGrid/>
        <w:spacing w:line="606" w:lineRule="exact"/>
        <w:ind w:firstLine="640" w:firstLineChars="200"/>
        <w:textAlignment w:val="auto"/>
        <w:rPr>
          <w:rFonts w:hint="eastAsia" w:ascii="楷体_GB2312" w:hAnsi="楷体_GB2312" w:eastAsia="楷体_GB2312" w:cs="楷体_GB2312"/>
          <w:color w:val="000000" w:themeColor="text1"/>
          <w:kern w:val="0"/>
          <w:sz w:val="32"/>
          <w:szCs w:val="32"/>
          <w:lang w:val="en-US" w:eastAsia="zh-CN" w:bidi="ar-SA"/>
          <w14:textFill>
            <w14:solidFill>
              <w14:schemeClr w14:val="tx1"/>
            </w14:solidFill>
          </w14:textFill>
        </w:rPr>
      </w:pPr>
      <w:r>
        <w:rPr>
          <w:rFonts w:hint="eastAsia" w:ascii="楷体_GB2312" w:hAnsi="楷体_GB2312" w:eastAsia="楷体_GB2312" w:cs="楷体_GB2312"/>
          <w:color w:val="000000" w:themeColor="text1"/>
          <w:kern w:val="0"/>
          <w:sz w:val="32"/>
          <w:szCs w:val="32"/>
          <w:lang w:val="en-US" w:eastAsia="zh-CN" w:bidi="ar-SA"/>
          <w14:textFill>
            <w14:solidFill>
              <w14:schemeClr w14:val="tx1"/>
            </w14:solidFill>
          </w14:textFill>
        </w:rPr>
        <w:t>（六）全病程管理原则</w:t>
      </w:r>
    </w:p>
    <w:p w14:paraId="6DF94E63">
      <w:pPr>
        <w:keepNext w:val="0"/>
        <w:keepLines w:val="0"/>
        <w:pageBreakBefore w:val="0"/>
        <w:widowControl w:val="0"/>
        <w:kinsoku/>
        <w:wordWrap/>
        <w:overflowPunct/>
        <w:topLinePunct w:val="0"/>
        <w:autoSpaceDE/>
        <w:autoSpaceDN/>
        <w:bidi w:val="0"/>
        <w:adjustRightInd/>
        <w:snapToGrid/>
        <w:spacing w:line="606" w:lineRule="exact"/>
        <w:ind w:firstLine="616" w:firstLineChars="200"/>
        <w:textAlignment w:val="auto"/>
        <w:rPr>
          <w:rFonts w:hint="eastAsia" w:ascii="仿宋_GB2312" w:hAnsi="仿宋_GB2312" w:eastAsia="仿宋_GB2312" w:cs="仿宋_GB2312"/>
          <w:color w:val="000000" w:themeColor="text1"/>
          <w:spacing w:val="-6"/>
          <w:kern w:val="0"/>
          <w:sz w:val="32"/>
          <w:szCs w:val="32"/>
          <w14:textFill>
            <w14:solidFill>
              <w14:schemeClr w14:val="tx1"/>
            </w14:solidFill>
          </w14:textFill>
        </w:rPr>
      </w:pPr>
      <w:r>
        <w:rPr>
          <w:rFonts w:hint="eastAsia" w:ascii="仿宋_GB2312" w:hAnsi="仿宋_GB2312" w:eastAsia="仿宋_GB2312" w:cs="仿宋_GB2312"/>
          <w:color w:val="000000" w:themeColor="text1"/>
          <w:spacing w:val="-6"/>
          <w:kern w:val="0"/>
          <w:sz w:val="32"/>
          <w:szCs w:val="32"/>
          <w14:textFill>
            <w14:solidFill>
              <w14:schemeClr w14:val="tx1"/>
            </w14:solidFill>
          </w14:textFill>
        </w:rPr>
        <w:t>建立从识别、诊断、治疗、康复到回归社会的全链条连续服务体系，推进医康养融合发展，畅通治疗与康复康养衔接渠道。</w:t>
      </w:r>
    </w:p>
    <w:p w14:paraId="75B6686A">
      <w:pPr>
        <w:keepNext w:val="0"/>
        <w:keepLines w:val="0"/>
        <w:pageBreakBefore w:val="0"/>
        <w:widowControl w:val="0"/>
        <w:numPr>
          <w:ilvl w:val="0"/>
          <w:numId w:val="0"/>
        </w:numPr>
        <w:kinsoku/>
        <w:wordWrap/>
        <w:overflowPunct/>
        <w:topLinePunct w:val="0"/>
        <w:autoSpaceDE/>
        <w:autoSpaceDN/>
        <w:bidi w:val="0"/>
        <w:adjustRightInd/>
        <w:snapToGrid/>
        <w:spacing w:line="606" w:lineRule="exact"/>
        <w:ind w:firstLine="640" w:firstLineChars="200"/>
        <w:textAlignment w:val="auto"/>
        <w:rPr>
          <w:rFonts w:hint="eastAsia" w:ascii="楷体_GB2312" w:hAnsi="楷体_GB2312" w:eastAsia="楷体_GB2312" w:cs="楷体_GB2312"/>
          <w:color w:val="000000" w:themeColor="text1"/>
          <w:kern w:val="0"/>
          <w:sz w:val="32"/>
          <w:szCs w:val="32"/>
          <w:lang w:val="en-US" w:eastAsia="zh-CN" w:bidi="ar-SA"/>
          <w14:textFill>
            <w14:solidFill>
              <w14:schemeClr w14:val="tx1"/>
            </w14:solidFill>
          </w14:textFill>
        </w:rPr>
      </w:pPr>
      <w:r>
        <w:rPr>
          <w:rFonts w:hint="eastAsia" w:ascii="楷体_GB2312" w:hAnsi="楷体_GB2312" w:eastAsia="楷体_GB2312" w:cs="楷体_GB2312"/>
          <w:color w:val="000000" w:themeColor="text1"/>
          <w:kern w:val="0"/>
          <w:sz w:val="32"/>
          <w:szCs w:val="32"/>
          <w:lang w:val="en-US" w:eastAsia="zh-CN" w:bidi="ar-SA"/>
          <w14:textFill>
            <w14:solidFill>
              <w14:schemeClr w14:val="tx1"/>
            </w14:solidFill>
          </w14:textFill>
        </w:rPr>
        <w:t>（七）以患者为中心原则</w:t>
      </w:r>
    </w:p>
    <w:p w14:paraId="7BD96FC0">
      <w:pPr>
        <w:keepNext w:val="0"/>
        <w:keepLines w:val="0"/>
        <w:pageBreakBefore w:val="0"/>
        <w:widowControl w:val="0"/>
        <w:kinsoku/>
        <w:wordWrap/>
        <w:overflowPunct/>
        <w:topLinePunct w:val="0"/>
        <w:autoSpaceDE/>
        <w:autoSpaceDN/>
        <w:bidi w:val="0"/>
        <w:adjustRightInd/>
        <w:snapToGrid/>
        <w:spacing w:line="606" w:lineRule="exact"/>
        <w:ind w:firstLine="640" w:firstLineChars="200"/>
        <w:textAlignment w:val="auto"/>
        <w:rPr>
          <w:rFonts w:hint="eastAsia" w:ascii="仿宋_GB2312" w:hAnsi="仿宋_GB2312" w:eastAsia="仿宋_GB2312" w:cs="仿宋_GB2312"/>
          <w:b/>
          <w:bCs/>
          <w:snapToGrid w:val="0"/>
          <w:spacing w:val="0"/>
          <w:kern w:val="0"/>
          <w:sz w:val="30"/>
          <w:szCs w:val="30"/>
          <w:lang w:eastAsia="zh-CN"/>
        </w:rPr>
      </w:pPr>
      <w:r>
        <w:rPr>
          <w:rFonts w:hint="eastAsia" w:ascii="仿宋_GB2312" w:hAnsi="仿宋_GB2312" w:eastAsia="仿宋_GB2312" w:cs="仿宋_GB2312"/>
          <w:color w:val="000000" w:themeColor="text1"/>
          <w:kern w:val="0"/>
          <w:sz w:val="32"/>
          <w:szCs w:val="32"/>
          <w14:textFill>
            <w14:solidFill>
              <w14:schemeClr w14:val="tx1"/>
            </w14:solidFill>
          </w14:textFill>
        </w:rPr>
        <w:t>关注患者的社会心理需求，提供个体化、人文化的综合服务</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p>
    <w:p w14:paraId="1E662CB2">
      <w:pPr>
        <w:rPr>
          <w:rFonts w:hint="eastAsia" w:ascii="仿宋_GB2312" w:hAnsi="仿宋_GB2312" w:eastAsia="仿宋_GB2312" w:cs="仿宋_GB2312"/>
          <w:b/>
          <w:bCs/>
          <w:snapToGrid w:val="0"/>
          <w:spacing w:val="0"/>
          <w:kern w:val="0"/>
          <w:sz w:val="30"/>
          <w:szCs w:val="30"/>
        </w:rPr>
      </w:pPr>
      <w:r>
        <w:rPr>
          <w:rFonts w:hint="eastAsia" w:ascii="仿宋_GB2312" w:hAnsi="仿宋_GB2312" w:eastAsia="仿宋_GB2312" w:cs="仿宋_GB2312"/>
          <w:b/>
          <w:bCs/>
          <w:snapToGrid w:val="0"/>
          <w:spacing w:val="0"/>
          <w:kern w:val="0"/>
          <w:sz w:val="30"/>
          <w:szCs w:val="30"/>
        </w:rPr>
        <w:br w:type="page"/>
      </w:r>
    </w:p>
    <w:p w14:paraId="47BA6475">
      <w:pPr>
        <w:keepNext w:val="0"/>
        <w:keepLines w:val="0"/>
        <w:pageBreakBefore w:val="0"/>
        <w:widowControl w:val="0"/>
        <w:kinsoku/>
        <w:wordWrap/>
        <w:overflowPunct/>
        <w:topLinePunct w:val="0"/>
        <w:autoSpaceDE/>
        <w:autoSpaceDN/>
        <w:bidi w:val="0"/>
        <w:adjustRightInd/>
        <w:snapToGrid/>
        <w:spacing w:line="586" w:lineRule="exact"/>
        <w:ind w:firstLine="602" w:firstLineChars="200"/>
        <w:jc w:val="both"/>
        <w:textAlignment w:val="auto"/>
        <w:rPr>
          <w:rFonts w:hint="eastAsia" w:ascii="仿宋_GB2312" w:hAnsi="仿宋_GB2312" w:eastAsia="仿宋_GB2312" w:cs="仿宋_GB2312"/>
          <w:b/>
          <w:bCs/>
          <w:snapToGrid w:val="0"/>
          <w:spacing w:val="0"/>
          <w:kern w:val="0"/>
          <w:sz w:val="30"/>
          <w:szCs w:val="30"/>
        </w:rPr>
      </w:pPr>
    </w:p>
    <w:p w14:paraId="50EE5B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小标宋_GBK" w:hAnsi="方正小标宋_GBK" w:eastAsia="方正小标宋_GBK" w:cs="方正小标宋_GBK"/>
          <w:color w:val="000000" w:themeColor="text1"/>
          <w:spacing w:val="11"/>
          <w:sz w:val="44"/>
          <w:szCs w:val="44"/>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pacing w:val="11"/>
          <w:sz w:val="44"/>
          <w:szCs w:val="44"/>
          <w:lang w:val="en-US" w:eastAsia="zh-CN"/>
          <w14:textFill>
            <w14:solidFill>
              <w14:schemeClr w14:val="tx1"/>
            </w14:solidFill>
          </w14:textFill>
        </w:rPr>
        <w:t>第二章  医疗机构管理要求</w:t>
      </w:r>
    </w:p>
    <w:p w14:paraId="2F4F1850">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p>
    <w:p w14:paraId="025E411E">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spacing w:val="0"/>
          <w:kern w:val="0"/>
          <w:sz w:val="32"/>
          <w:szCs w:val="32"/>
          <w14:textFill>
            <w14:solidFill>
              <w14:schemeClr w14:val="tx1"/>
            </w14:solidFill>
          </w14:textFill>
        </w:rPr>
      </w:pPr>
      <w:r>
        <w:rPr>
          <w:rFonts w:hint="eastAsia" w:ascii="黑体" w:hAnsi="黑体" w:eastAsia="黑体" w:cs="黑体"/>
          <w:color w:val="000000" w:themeColor="text1"/>
          <w:spacing w:val="0"/>
          <w:kern w:val="0"/>
          <w:sz w:val="32"/>
          <w:szCs w:val="32"/>
          <w14:textFill>
            <w14:solidFill>
              <w14:schemeClr w14:val="tx1"/>
            </w14:solidFill>
          </w14:textFill>
        </w:rPr>
        <w:t>一、依法执业管理</w:t>
      </w:r>
    </w:p>
    <w:p w14:paraId="5016E5B7">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精神卫生医疗机构对本机构依法执业、服务质量、医疗安全和行风建设负主体责任，机构主要负责人是第一责任人。</w:t>
      </w:r>
    </w:p>
    <w:p w14:paraId="14C89585">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（一）机构资质与设置</w:t>
      </w:r>
    </w:p>
    <w:p w14:paraId="60DEB838">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精神卫生医疗机构应符合《医疗机构基本标准（试行）》相应等级要求，具备与诊疗服务相适应的场所、设施设备，按照医疗机构等级配备卫生专业技术人员。应持有有效《医疗机构执业许可证》并登记精神科相关诊疗科目，或者持有诊所备案凭证并备案精神科相关诊疗科目，按时开展校验，严禁无证执业、逾期未校验或者未通过校验继续执业</w:t>
      </w:r>
      <w:r>
        <w:rPr>
          <w:rFonts w:hint="eastAsia" w:ascii="仿宋_GB2312" w:hAnsi="仿宋_GB2312" w:eastAsia="仿宋_GB2312" w:cs="仿宋_GB2312"/>
          <w:color w:val="000000" w:themeColor="text1"/>
          <w:spacing w:val="0"/>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机构标牌及网络宣传的名称应当与核准登记或者备案的名称一致。实际开设科室与核准登记或者备案的诊疗科目一致，医技科室配置应当满足精神科相关诊疗科目常规检查需求。</w:t>
      </w:r>
    </w:p>
    <w:p w14:paraId="23EFAC7D">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w:t>
      </w:r>
      <w:r>
        <w:rPr>
          <w:rFonts w:hint="eastAsia" w:ascii="仿宋_GB2312" w:hAnsi="仿宋_GB2312" w:eastAsia="仿宋_GB2312" w:cs="仿宋_GB2312"/>
          <w:color w:val="000000" w:themeColor="text1"/>
          <w:spacing w:val="0"/>
          <w:kern w:val="0"/>
          <w:sz w:val="32"/>
          <w:szCs w:val="32"/>
          <w:lang w:val="en-US" w:eastAsia="zh-CN"/>
          <w14:textFill>
            <w14:solidFill>
              <w14:schemeClr w14:val="tx1"/>
            </w14:solidFill>
          </w14:textFill>
        </w:rPr>
        <w:t>二</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）执业行为规范</w:t>
      </w:r>
    </w:p>
    <w:p w14:paraId="704AE79A">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健全医疗质量安全、人力资源、后勤保障等内部管理制度与运行机制，严格落实院务公开制度。规范开展就医引导、诊疗咨询等服务，严禁线上线下发布违法违规医疗信息，严禁在诊疗咨询、就医引导中作出违反法律法规及诊疗规范的承诺或者表述。</w:t>
      </w:r>
    </w:p>
    <w:p w14:paraId="6F7020C2">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spacing w:val="0"/>
          <w:kern w:val="0"/>
          <w:sz w:val="32"/>
          <w:szCs w:val="32"/>
          <w14:textFill>
            <w14:solidFill>
              <w14:schemeClr w14:val="tx1"/>
            </w14:solidFill>
          </w14:textFill>
        </w:rPr>
      </w:pPr>
      <w:r>
        <w:rPr>
          <w:rFonts w:hint="eastAsia" w:ascii="黑体" w:hAnsi="黑体" w:eastAsia="黑体" w:cs="黑体"/>
          <w:color w:val="000000" w:themeColor="text1"/>
          <w:spacing w:val="0"/>
          <w:kern w:val="0"/>
          <w:sz w:val="32"/>
          <w:szCs w:val="32"/>
          <w14:textFill>
            <w14:solidFill>
              <w14:schemeClr w14:val="tx1"/>
            </w14:solidFill>
          </w14:textFill>
        </w:rPr>
        <w:t>二、医德医风建设</w:t>
      </w:r>
    </w:p>
    <w:p w14:paraId="29DA4F4B">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落实《中华人民共和国精神卫生法》《中华人民共和国基本医疗卫生与健康促进法》《医务人员职业道德准则（</w:t>
      </w: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2025</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年版）》《医疗机构从业人员行为规范》等法律法规和规范性文件</w:t>
      </w:r>
      <w:r>
        <w:rPr>
          <w:rFonts w:hint="eastAsia" w:ascii="仿宋_GB2312" w:hAnsi="仿宋_GB2312" w:eastAsia="仿宋_GB2312" w:cs="仿宋_GB2312"/>
          <w:color w:val="000000" w:themeColor="text1"/>
          <w:spacing w:val="0"/>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kern w:val="0"/>
          <w:sz w:val="32"/>
          <w:szCs w:val="32"/>
          <w:lang w:val="en-US" w:eastAsia="zh-CN"/>
          <w14:textFill>
            <w14:solidFill>
              <w14:schemeClr w14:val="tx1"/>
            </w14:solidFill>
          </w14:textFill>
        </w:rPr>
        <w:t>加大</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宣传教育力度</w:t>
      </w:r>
      <w:r>
        <w:rPr>
          <w:rFonts w:hint="eastAsia" w:ascii="仿宋_GB2312" w:hAnsi="仿宋_GB2312" w:eastAsia="仿宋_GB2312" w:cs="仿宋_GB2312"/>
          <w:color w:val="000000" w:themeColor="text1"/>
          <w:spacing w:val="0"/>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严肃查处失德行为，强化制度刚性约束，提升医务人员遵纪守法、依法执业意识，规范诊疗服务行为。加强医患沟通，恪守“人民至上、生命至上”宗旨。建立投诉处理制度，定期开展患者满意度调查。严禁歧视、侮辱、虐待精神障碍患者，严禁强迫患者为医疗机构从事生产劳动。</w:t>
      </w:r>
    </w:p>
    <w:p w14:paraId="137F43AC">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spacing w:val="0"/>
          <w:kern w:val="0"/>
          <w:sz w:val="32"/>
          <w:szCs w:val="32"/>
          <w14:textFill>
            <w14:solidFill>
              <w14:schemeClr w14:val="tx1"/>
            </w14:solidFill>
          </w14:textFill>
        </w:rPr>
      </w:pPr>
      <w:r>
        <w:rPr>
          <w:rFonts w:hint="eastAsia" w:ascii="黑体" w:hAnsi="黑体" w:eastAsia="黑体" w:cs="黑体"/>
          <w:color w:val="000000" w:themeColor="text1"/>
          <w:spacing w:val="0"/>
          <w:kern w:val="0"/>
          <w:sz w:val="32"/>
          <w:szCs w:val="32"/>
          <w14:textFill>
            <w14:solidFill>
              <w14:schemeClr w14:val="tx1"/>
            </w14:solidFill>
          </w14:textFill>
        </w:rPr>
        <w:t>三、医疗质量安全管理</w:t>
      </w:r>
    </w:p>
    <w:p w14:paraId="5E8ADB87">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（一）核心制度与质量体系</w:t>
      </w:r>
    </w:p>
    <w:p w14:paraId="5FB6C0DF">
      <w:pPr>
        <w:pStyle w:val="4"/>
        <w:keepNext w:val="0"/>
        <w:keepLines w:val="0"/>
        <w:pageBreakBefore w:val="0"/>
        <w:widowControl w:val="0"/>
        <w:kinsoku/>
        <w:wordWrap/>
        <w:overflowPunct/>
        <w:topLinePunct w:val="0"/>
        <w:autoSpaceDE/>
        <w:autoSpaceDN/>
        <w:bidi w:val="0"/>
        <w:adjustRightInd/>
        <w:snapToGrid/>
        <w:spacing w:beforeAutospacing="0" w:afterAutospacing="0" w:line="586" w:lineRule="exact"/>
        <w:ind w:firstLine="640" w:firstLineChars="200"/>
        <w:jc w:val="both"/>
        <w:textAlignment w:val="auto"/>
        <w:rPr>
          <w:rFonts w:hint="eastAsia" w:ascii="仿宋_GB2312" w:hAnsi="仿宋_GB2312" w:eastAsia="仿宋_GB2312" w:cs="仿宋_GB2312"/>
          <w:b w:val="0"/>
          <w:bCs w:val="0"/>
          <w:color w:val="000000" w:themeColor="text1"/>
          <w:spacing w:val="0"/>
          <w:kern w:val="2"/>
          <w:sz w:val="32"/>
          <w:szCs w:val="32"/>
          <w14:textFill>
            <w14:solidFill>
              <w14:schemeClr w14:val="tx1"/>
            </w14:solidFill>
          </w14:textFill>
        </w:rPr>
      </w:pPr>
      <w:r>
        <w:rPr>
          <w:rFonts w:hint="eastAsia" w:ascii="仿宋_GB2312" w:hAnsi="仿宋_GB2312" w:eastAsia="仿宋_GB2312" w:cs="仿宋_GB2312"/>
          <w:b w:val="0"/>
          <w:bCs w:val="0"/>
          <w:color w:val="000000" w:themeColor="text1"/>
          <w:spacing w:val="0"/>
          <w:sz w:val="32"/>
          <w:szCs w:val="32"/>
          <w14:textFill>
            <w14:solidFill>
              <w14:schemeClr w14:val="tx1"/>
            </w14:solidFill>
          </w14:textFill>
        </w:rPr>
        <w:t>根据《医疗质量安全核心制度要点》（国卫医发〔</w:t>
      </w:r>
      <w:r>
        <w:rPr>
          <w:rFonts w:hint="eastAsia" w:ascii="Times New Roman" w:hAnsi="Times New Roman" w:eastAsia="仿宋_GB2312" w:cs="仿宋_GB2312"/>
          <w:b w:val="0"/>
          <w:bCs w:val="0"/>
          <w:color w:val="000000" w:themeColor="text1"/>
          <w:spacing w:val="0"/>
          <w:sz w:val="32"/>
          <w:szCs w:val="32"/>
          <w14:textFill>
            <w14:solidFill>
              <w14:schemeClr w14:val="tx1"/>
            </w14:solidFill>
          </w14:textFill>
        </w:rPr>
        <w:t>2018</w:t>
      </w:r>
      <w:r>
        <w:rPr>
          <w:rFonts w:hint="eastAsia" w:ascii="仿宋_GB2312" w:hAnsi="仿宋_GB2312" w:eastAsia="仿宋_GB2312" w:cs="仿宋_GB2312"/>
          <w:b w:val="0"/>
          <w:bCs w:val="0"/>
          <w:color w:val="000000" w:themeColor="text1"/>
          <w:spacing w:val="0"/>
          <w:sz w:val="32"/>
          <w:szCs w:val="32"/>
          <w14:textFill>
            <w14:solidFill>
              <w14:schemeClr w14:val="tx1"/>
            </w14:solidFill>
          </w14:textFill>
        </w:rPr>
        <w:t>〕</w:t>
      </w:r>
      <w:r>
        <w:rPr>
          <w:rFonts w:hint="eastAsia" w:ascii="Times New Roman" w:hAnsi="Times New Roman" w:eastAsia="仿宋_GB2312" w:cs="仿宋_GB2312"/>
          <w:b w:val="0"/>
          <w:bCs w:val="0"/>
          <w:color w:val="000000" w:themeColor="text1"/>
          <w:spacing w:val="0"/>
          <w:sz w:val="32"/>
          <w:szCs w:val="32"/>
          <w14:textFill>
            <w14:solidFill>
              <w14:schemeClr w14:val="tx1"/>
            </w14:solidFill>
          </w14:textFill>
        </w:rPr>
        <w:t>8</w:t>
      </w:r>
      <w:r>
        <w:rPr>
          <w:rFonts w:hint="eastAsia" w:ascii="仿宋_GB2312" w:hAnsi="仿宋_GB2312" w:eastAsia="仿宋_GB2312" w:cs="仿宋_GB2312"/>
          <w:b w:val="0"/>
          <w:bCs w:val="0"/>
          <w:color w:val="000000" w:themeColor="text1"/>
          <w:spacing w:val="0"/>
          <w:sz w:val="32"/>
          <w:szCs w:val="32"/>
          <w14:textFill>
            <w14:solidFill>
              <w14:schemeClr w14:val="tx1"/>
            </w14:solidFill>
          </w14:textFill>
        </w:rPr>
        <w:t>号）</w:t>
      </w:r>
      <w:r>
        <w:rPr>
          <w:rFonts w:hint="eastAsia" w:ascii="仿宋_GB2312" w:hAnsi="仿宋_GB2312" w:eastAsia="仿宋_GB2312" w:cs="仿宋_GB2312"/>
          <w:b w:val="0"/>
          <w:bCs w:val="0"/>
          <w:color w:val="000000" w:themeColor="text1"/>
          <w:spacing w:val="0"/>
          <w:sz w:val="32"/>
          <w:szCs w:val="32"/>
          <w:lang w:val="en-US" w:eastAsia="zh-CN"/>
          <w14:textFill>
            <w14:solidFill>
              <w14:schemeClr w14:val="tx1"/>
            </w14:solidFill>
          </w14:textFill>
        </w:rPr>
        <w:t>文件精神</w:t>
      </w:r>
      <w:r>
        <w:rPr>
          <w:rFonts w:hint="eastAsia" w:ascii="仿宋_GB2312" w:hAnsi="仿宋_GB2312" w:eastAsia="仿宋_GB2312" w:cs="仿宋_GB2312"/>
          <w:b w:val="0"/>
          <w:bCs w:val="0"/>
          <w:color w:val="000000" w:themeColor="text1"/>
          <w:spacing w:val="0"/>
          <w:sz w:val="32"/>
          <w:szCs w:val="32"/>
          <w14:textFill>
            <w14:solidFill>
              <w14:schemeClr w14:val="tx1"/>
            </w14:solidFill>
          </w14:textFill>
        </w:rPr>
        <w:t>，精神卫生医疗机构应当全面落实十八项医疗质量安全核心制度。结合精神科诊疗特点</w:t>
      </w:r>
      <w:r>
        <w:rPr>
          <w:rFonts w:hint="eastAsia" w:ascii="仿宋_GB2312" w:hAnsi="仿宋_GB2312" w:eastAsia="仿宋_GB2312" w:cs="仿宋_GB2312"/>
          <w:b w:val="0"/>
          <w:bCs w:val="0"/>
          <w:color w:val="000000" w:themeColor="text1"/>
          <w:spacing w:val="0"/>
          <w:sz w:val="32"/>
          <w:szCs w:val="32"/>
          <w:lang w:eastAsia="zh-CN"/>
          <w14:textFill>
            <w14:solidFill>
              <w14:schemeClr w14:val="tx1"/>
            </w14:solidFill>
          </w14:textFill>
        </w:rPr>
        <w:t>和开展的特殊治疗</w:t>
      </w:r>
      <w:r>
        <w:rPr>
          <w:rFonts w:hint="eastAsia" w:ascii="仿宋_GB2312" w:hAnsi="仿宋_GB2312" w:eastAsia="仿宋_GB2312" w:cs="仿宋_GB2312"/>
          <w:b w:val="0"/>
          <w:bCs w:val="0"/>
          <w:color w:val="000000" w:themeColor="text1"/>
          <w:spacing w:val="0"/>
          <w:sz w:val="32"/>
          <w:szCs w:val="32"/>
          <w14:textFill>
            <w14:solidFill>
              <w14:schemeClr w14:val="tx1"/>
            </w14:solidFill>
          </w14:textFill>
        </w:rPr>
        <w:t>，</w:t>
      </w:r>
      <w:r>
        <w:rPr>
          <w:rFonts w:hint="eastAsia" w:ascii="仿宋_GB2312" w:hAnsi="仿宋_GB2312" w:eastAsia="仿宋_GB2312" w:cs="仿宋_GB2312"/>
          <w:b w:val="0"/>
          <w:bCs w:val="0"/>
          <w:color w:val="000000" w:themeColor="text1"/>
          <w:spacing w:val="0"/>
          <w:kern w:val="0"/>
          <w:sz w:val="32"/>
          <w:szCs w:val="32"/>
          <w14:textFill>
            <w14:solidFill>
              <w14:schemeClr w14:val="tx1"/>
            </w14:solidFill>
          </w14:textFill>
        </w:rPr>
        <w:t>可增加精神科改良电抽搐治疗、磁休克治疗等特殊治疗的核查、分级管理细则，贴合</w:t>
      </w:r>
      <w:r>
        <w:rPr>
          <w:rFonts w:hint="eastAsia" w:ascii="仿宋_GB2312" w:hAnsi="仿宋_GB2312" w:eastAsia="仿宋_GB2312" w:cs="仿宋_GB2312"/>
          <w:b w:val="0"/>
          <w:bCs w:val="0"/>
          <w:color w:val="000000" w:themeColor="text1"/>
          <w:spacing w:val="0"/>
          <w:kern w:val="2"/>
          <w:sz w:val="32"/>
          <w:szCs w:val="32"/>
          <w14:textFill>
            <w14:solidFill>
              <w14:schemeClr w14:val="tx1"/>
            </w14:solidFill>
          </w14:textFill>
        </w:rPr>
        <w:t>专科诊疗实际。</w:t>
      </w:r>
    </w:p>
    <w:p w14:paraId="1D31A26A">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1</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.全面适用制度</w:t>
      </w:r>
    </w:p>
    <w:p w14:paraId="3AA22540">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lang w:val="en-US" w:eastAsia="zh-CN"/>
          <w14:textFill>
            <w14:solidFill>
              <w14:schemeClr w14:val="tx1"/>
            </w14:solidFill>
          </w14:textFill>
        </w:rPr>
        <w:t>落实</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首诊负责、三级查房、会诊、分级护理、值班</w:t>
      </w:r>
      <w:r>
        <w:rPr>
          <w:rFonts w:hint="eastAsia" w:ascii="仿宋_GB2312" w:hAnsi="仿宋_GB2312" w:eastAsia="仿宋_GB2312" w:cs="仿宋_GB2312"/>
          <w:color w:val="000000" w:themeColor="text1"/>
          <w:spacing w:val="0"/>
          <w:kern w:val="0"/>
          <w:sz w:val="32"/>
          <w:szCs w:val="32"/>
          <w:lang w:val="en-US" w:eastAsia="zh-CN"/>
          <w14:textFill>
            <w14:solidFill>
              <w14:schemeClr w14:val="tx1"/>
            </w14:solidFill>
          </w14:textFill>
        </w:rPr>
        <w:t>和</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交接班、疑难病例讨论、急危重患者抢救、死亡病例讨论、查对、新技术和新项目准入、危急值报告、病历管理、抗菌药物分级管理、信息安全管理等十四项制度，应当严格按照国家规定执行。</w:t>
      </w:r>
    </w:p>
    <w:p w14:paraId="09D7DC02">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2</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.转化适用制度</w:t>
      </w:r>
    </w:p>
    <w:p w14:paraId="540BBB4E">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精神卫生医疗机构具有诊疗对象特殊、治疗方式以药物</w:t>
      </w:r>
      <w:r>
        <w:rPr>
          <w:rFonts w:hint="eastAsia" w:ascii="仿宋_GB2312" w:hAnsi="仿宋_GB2312" w:eastAsia="仿宋_GB2312" w:cs="仿宋_GB2312"/>
          <w:color w:val="000000" w:themeColor="text1"/>
          <w:spacing w:val="0"/>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心理和物理治疗为主、手术量少、患者安全风险高等特点</w:t>
      </w:r>
      <w:r>
        <w:rPr>
          <w:rFonts w:hint="eastAsia" w:ascii="仿宋_GB2312" w:hAnsi="仿宋_GB2312" w:eastAsia="仿宋_GB2312" w:cs="仿宋_GB2312"/>
          <w:color w:val="000000" w:themeColor="text1"/>
          <w:spacing w:val="0"/>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结合精神科实际，将“手术安全核查制度”拓展为“精神科特殊治疗安全核查制度”，适用于改良电抽搐治疗、磁休克治疗、氟哌啶醇肌注治疗、艾司氯胺酮鼻喷或静脉给药等精神科特殊治疗</w:t>
      </w:r>
      <w:r>
        <w:rPr>
          <w:rFonts w:hint="eastAsia" w:ascii="仿宋_GB2312" w:hAnsi="仿宋_GB2312" w:eastAsia="仿宋_GB2312" w:cs="仿宋_GB2312"/>
          <w:color w:val="000000" w:themeColor="text1"/>
          <w:spacing w:val="0"/>
          <w:kern w:val="0"/>
          <w:sz w:val="32"/>
          <w:szCs w:val="32"/>
          <w:lang w:val="en-US" w:eastAsia="zh-CN"/>
          <w14:textFill>
            <w14:solidFill>
              <w14:schemeClr w14:val="tx1"/>
            </w14:solidFill>
          </w14:textFill>
        </w:rPr>
        <w:t>措施</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w:t>
      </w:r>
    </w:p>
    <w:p w14:paraId="19767526">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精神科特殊治疗安全核查制度（对应手术安全核查制度）</w:t>
      </w:r>
      <w:r>
        <w:rPr>
          <w:rFonts w:hint="eastAsia" w:ascii="仿宋_GB2312" w:hAnsi="仿宋_GB2312" w:eastAsia="仿宋_GB2312" w:cs="仿宋_GB2312"/>
          <w:color w:val="000000" w:themeColor="text1"/>
          <w:spacing w:val="0"/>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对改良电抽搐治疗及磁休克治疗等需麻醉配合的特殊物理治疗，应当</w:t>
      </w:r>
      <w:r>
        <w:rPr>
          <w:rFonts w:hint="eastAsia" w:ascii="仿宋_GB2312" w:hAnsi="仿宋_GB2312" w:eastAsia="仿宋_GB2312" w:cs="仿宋_GB2312"/>
          <w:color w:val="000000" w:themeColor="text1"/>
          <w:spacing w:val="0"/>
          <w:kern w:val="0"/>
          <w:sz w:val="32"/>
          <w:szCs w:val="32"/>
          <w:lang w:val="en-US" w:eastAsia="zh-CN"/>
          <w14:textFill>
            <w14:solidFill>
              <w14:schemeClr w14:val="tx1"/>
            </w14:solidFill>
          </w14:textFill>
        </w:rPr>
        <w:t>按</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手术安全核查制度，实施治疗前、治疗中、治疗后的安全核查，由实施治疗的精神科医师及治疗室护士共同核查患者身份、治疗方案、设备状态等，确保治疗安全。对氟哌啶醇肌注治疗、艾司氯胺酮鼻喷或静脉给药等精神科特殊治疗，由治疗</w:t>
      </w:r>
      <w:r>
        <w:rPr>
          <w:rFonts w:hint="eastAsia" w:ascii="仿宋_GB2312" w:hAnsi="仿宋_GB2312" w:eastAsia="仿宋_GB2312" w:cs="仿宋_GB2312"/>
          <w:color w:val="000000" w:themeColor="text1"/>
          <w:spacing w:val="0"/>
          <w:kern w:val="0"/>
          <w:sz w:val="32"/>
          <w:szCs w:val="32"/>
          <w:lang w:val="en-US" w:eastAsia="zh-CN"/>
          <w14:textFill>
            <w14:solidFill>
              <w14:schemeClr w14:val="tx1"/>
            </w14:solidFill>
          </w14:textFill>
        </w:rPr>
        <w:t>人员</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严格执行三查八对后实施治疗。</w:t>
      </w:r>
    </w:p>
    <w:p w14:paraId="115C27B8">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pacing w:val="0"/>
          <w:kern w:val="0"/>
          <w:sz w:val="32"/>
          <w:szCs w:val="32"/>
          <w:lang w:val="en-US" w:eastAsia="zh-CN"/>
          <w14:textFill>
            <w14:solidFill>
              <w14:schemeClr w14:val="tx1"/>
            </w14:solidFill>
          </w14:textFill>
        </w:rPr>
        <w:t>.有限适用制度</w:t>
      </w:r>
    </w:p>
    <w:p w14:paraId="16752E3F">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lang w:val="en-US" w:eastAsia="zh-CN"/>
          <w14:textFill>
            <w14:solidFill>
              <w14:schemeClr w14:val="tx1"/>
            </w14:solidFill>
          </w14:textFill>
        </w:rPr>
        <w:t>术前讨论制度、手术分级管理制度、临床用血审核制度三项制度，在精神卫生医疗机构中适用频率较低，仍应建立并执行。</w:t>
      </w:r>
    </w:p>
    <w:p w14:paraId="40643322">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lang w:val="en-US" w:eastAsia="zh-CN"/>
          <w14:textFill>
            <w14:solidFill>
              <w14:schemeClr w14:val="tx1"/>
            </w14:solidFill>
          </w14:textFill>
        </w:rPr>
        <w:t>（</w:t>
      </w:r>
      <w:r>
        <w:rPr>
          <w:rFonts w:hint="eastAsia" w:ascii="Times New Roman" w:hAnsi="Times New Roman" w:eastAsia="仿宋_GB2312" w:cs="仿宋_GB2312"/>
          <w:color w:val="000000" w:themeColor="text1"/>
          <w:spacing w:val="0"/>
          <w:kern w:val="0"/>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pacing w:val="0"/>
          <w:kern w:val="0"/>
          <w:sz w:val="32"/>
          <w:szCs w:val="32"/>
          <w:lang w:val="en-US" w:eastAsia="zh-CN"/>
          <w14:textFill>
            <w14:solidFill>
              <w14:schemeClr w14:val="tx1"/>
            </w14:solidFill>
          </w14:textFill>
        </w:rPr>
        <w:t>）术前讨论制度：精神卫生医疗机构开展外科手术及其他有创操作的，应当严格执行术前讨论制度。对改良电抽搐治疗、磁休克治疗等</w:t>
      </w:r>
      <w:r>
        <w:rPr>
          <w:rFonts w:hint="default" w:ascii="仿宋_GB2312" w:hAnsi="仿宋_GB2312" w:eastAsia="仿宋_GB2312" w:cs="仿宋_GB2312"/>
          <w:color w:val="000000" w:themeColor="text1"/>
          <w:spacing w:val="0"/>
          <w:kern w:val="0"/>
          <w:sz w:val="32"/>
          <w:szCs w:val="32"/>
          <w:lang w:val="en-US" w:eastAsia="zh-CN"/>
          <w14:textFill>
            <w14:solidFill>
              <w14:schemeClr w14:val="tx1"/>
            </w14:solidFill>
          </w14:textFill>
        </w:rPr>
        <w:t>存在一定风险性的</w:t>
      </w:r>
      <w:r>
        <w:rPr>
          <w:rFonts w:hint="eastAsia" w:ascii="仿宋_GB2312" w:hAnsi="仿宋_GB2312" w:eastAsia="仿宋_GB2312" w:cs="仿宋_GB2312"/>
          <w:color w:val="000000" w:themeColor="text1"/>
          <w:spacing w:val="0"/>
          <w:kern w:val="0"/>
          <w:sz w:val="32"/>
          <w:szCs w:val="32"/>
          <w:lang w:val="en-US" w:eastAsia="zh-CN"/>
          <w14:textFill>
            <w14:solidFill>
              <w14:schemeClr w14:val="tx1"/>
            </w14:solidFill>
          </w14:textFill>
        </w:rPr>
        <w:t>特殊治疗，应当参照术前讨论制度要求，治疗前由治疗团队对适应症、禁忌症、治疗方案及风险应对措施进行充分讨论评估。</w:t>
      </w:r>
    </w:p>
    <w:p w14:paraId="432931FA">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lang w:val="en-US" w:eastAsia="zh-CN"/>
          <w14:textFill>
            <w14:solidFill>
              <w14:schemeClr w14:val="tx1"/>
            </w14:solidFill>
          </w14:textFill>
        </w:rPr>
        <w:t>（</w:t>
      </w:r>
      <w:r>
        <w:rPr>
          <w:rFonts w:hint="eastAsia" w:ascii="Times New Roman" w:hAnsi="Times New Roman" w:eastAsia="仿宋_GB2312" w:cs="仿宋_GB2312"/>
          <w:color w:val="000000" w:themeColor="text1"/>
          <w:spacing w:val="0"/>
          <w:kern w:val="0"/>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pacing w:val="0"/>
          <w:kern w:val="0"/>
          <w:sz w:val="32"/>
          <w:szCs w:val="32"/>
          <w:lang w:val="en-US" w:eastAsia="zh-CN"/>
          <w14:textFill>
            <w14:solidFill>
              <w14:schemeClr w14:val="tx1"/>
            </w14:solidFill>
          </w14:textFill>
        </w:rPr>
        <w:t>）手术分级管理制度：精神卫生医疗机构开展外科手术的，应当严格执行手术分级管理制度，按照手术风险程度、难易程度对手术进行分级管理。精神科特殊治疗可参照分级管理思路，根据治疗风险等级明确各级医师的治疗和审批权限。医疗机构应定期组织医师技术应用能力评估，根据评估结果动态调整医师治疗权限。</w:t>
      </w:r>
    </w:p>
    <w:p w14:paraId="29FEFDE4">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lang w:val="en-US" w:eastAsia="zh-CN"/>
          <w14:textFill>
            <w14:solidFill>
              <w14:schemeClr w14:val="tx1"/>
            </w14:solidFill>
          </w14:textFill>
        </w:rPr>
        <w:t>（</w:t>
      </w:r>
      <w:r>
        <w:rPr>
          <w:rFonts w:hint="eastAsia" w:ascii="Times New Roman" w:hAnsi="Times New Roman" w:eastAsia="仿宋_GB2312" w:cs="仿宋_GB2312"/>
          <w:color w:val="000000" w:themeColor="text1"/>
          <w:spacing w:val="0"/>
          <w:kern w:val="0"/>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pacing w:val="0"/>
          <w:kern w:val="0"/>
          <w:sz w:val="32"/>
          <w:szCs w:val="32"/>
          <w:lang w:val="en-US" w:eastAsia="zh-CN"/>
          <w14:textFill>
            <w14:solidFill>
              <w14:schemeClr w14:val="tx1"/>
            </w14:solidFill>
          </w14:textFill>
        </w:rPr>
        <w:t>）临床用血审核制度：精神卫生医疗机构应当建立临床用血审核制度，规范用血申请、审批、核对流程，确保临床用血安全。因急诊抢救、外科手术等需要用血的，严格按照国家有关规定执行。</w:t>
      </w:r>
    </w:p>
    <w:p w14:paraId="1A2E7D5C">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（二）安全管理与应急</w:t>
      </w:r>
    </w:p>
    <w:p w14:paraId="5DE8148A">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按照《中华人民共和国消防法》《企业事业单位内部治安保卫条例》《精神专科医院建筑设计规范》等规定，健全安全管理和应急制度，落实</w:t>
      </w: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24</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小时值班，做好防冲动、防自伤自杀、防外走、防火防盗等安全防范，配备必要的安防、监控和消防设施，保持疏散通道、安全出口畅通；封闭病区门禁系统应当具备紧急情况下的应急联动开启功能，兼顾封闭管理与应急逃生。制定应急预案并定期组织演练。</w:t>
      </w:r>
    </w:p>
    <w:p w14:paraId="72FABB95">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（三）药品管理</w:t>
      </w:r>
    </w:p>
    <w:p w14:paraId="397BD338">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按照《中华人民共和国药品管理法》《麻醉药品和精神药品管理条例》《处方管理办法》等有关法律法规规章，对麻醉药品和精神药品实行分级分类管理，规范采购、储存、调配、使用、回收和销毁，做到专人负责、账物相符，确保药品安全。</w:t>
      </w:r>
    </w:p>
    <w:p w14:paraId="559A89AF">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（四）院感防控</w:t>
      </w:r>
    </w:p>
    <w:p w14:paraId="701A13EF">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按照《医院感染管理办法》《医疗废物管理条例》等规定，健全院感防控和医疗废物管理制度，落实手卫生、消毒隔离等措施，做好院感监测、培训与记录；患者食堂（配餐间）卫生达标，操作间安装视频监控并接入辖区市场监督管理行政部门监管网络。</w:t>
      </w:r>
    </w:p>
    <w:p w14:paraId="41F7EF27">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（五）设备与信息化</w:t>
      </w:r>
    </w:p>
    <w:p w14:paraId="76E0B4EC">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按照《医疗机构基本标准（试行）》等要求，配备与诊疗相适应的急救、监护、心理测量及物理治疗等设备并定期维护校准；推进信息化建设，依托医院信息系统做好患者信息、随访和数据管理，保障信息安全和患者隐私。</w:t>
      </w:r>
    </w:p>
    <w:p w14:paraId="7C952D9F">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（六）公共卫生服务</w:t>
      </w:r>
    </w:p>
    <w:p w14:paraId="58326785">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b/>
          <w:bCs/>
          <w:snapToGrid w:val="0"/>
          <w:spacing w:val="0"/>
          <w:kern w:val="0"/>
          <w:sz w:val="30"/>
          <w:szCs w:val="30"/>
          <w:lang w:eastAsia="zh-CN"/>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按照《严重精神障碍管理治疗工作规范（</w:t>
      </w: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2018</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年版）》《国家基本公共卫生服务规范（第三版）》等规定，参与严重精神障碍患者服务管理，规范建立健康档案，开展社区康复指导和健康宣教，配合完成辖区精神卫生相关数据上报</w:t>
      </w:r>
      <w:r>
        <w:rPr>
          <w:rFonts w:hint="eastAsia" w:ascii="仿宋_GB2312" w:hAnsi="仿宋_GB2312" w:eastAsia="仿宋_GB2312" w:cs="仿宋_GB2312"/>
          <w:color w:val="000000" w:themeColor="text1"/>
          <w:spacing w:val="0"/>
          <w:kern w:val="0"/>
          <w:sz w:val="32"/>
          <w:szCs w:val="32"/>
          <w:lang w:eastAsia="zh-CN"/>
          <w14:textFill>
            <w14:solidFill>
              <w14:schemeClr w14:val="tx1"/>
            </w14:solidFill>
          </w14:textFill>
        </w:rPr>
        <w:t>。</w:t>
      </w:r>
    </w:p>
    <w:p w14:paraId="3A007C29">
      <w:pPr>
        <w:rPr>
          <w:rFonts w:hint="eastAsia" w:ascii="仿宋_GB2312" w:hAnsi="仿宋_GB2312" w:eastAsia="仿宋_GB2312" w:cs="仿宋_GB2312"/>
          <w:b/>
          <w:bCs/>
          <w:snapToGrid w:val="0"/>
          <w:spacing w:val="0"/>
          <w:kern w:val="0"/>
          <w:sz w:val="30"/>
          <w:szCs w:val="30"/>
        </w:rPr>
      </w:pPr>
    </w:p>
    <w:p w14:paraId="5526501D">
      <w:pPr>
        <w:rPr>
          <w:rFonts w:hint="eastAsia" w:ascii="仿宋_GB2312" w:hAnsi="仿宋_GB2312" w:eastAsia="仿宋_GB2312" w:cs="仿宋_GB2312"/>
          <w:b/>
          <w:bCs/>
          <w:snapToGrid w:val="0"/>
          <w:spacing w:val="0"/>
          <w:kern w:val="0"/>
          <w:sz w:val="30"/>
          <w:szCs w:val="30"/>
        </w:rPr>
      </w:pPr>
      <w:r>
        <w:rPr>
          <w:rFonts w:hint="eastAsia" w:ascii="仿宋_GB2312" w:hAnsi="仿宋_GB2312" w:eastAsia="仿宋_GB2312" w:cs="仿宋_GB2312"/>
          <w:b/>
          <w:bCs/>
          <w:snapToGrid w:val="0"/>
          <w:spacing w:val="0"/>
          <w:kern w:val="0"/>
          <w:sz w:val="30"/>
          <w:szCs w:val="30"/>
        </w:rPr>
        <w:br w:type="page"/>
      </w:r>
    </w:p>
    <w:p w14:paraId="6BFFD2BB">
      <w:pPr>
        <w:keepNext w:val="0"/>
        <w:keepLines w:val="0"/>
        <w:pageBreakBefore w:val="0"/>
        <w:widowControl w:val="0"/>
        <w:numPr>
          <w:ilvl w:val="0"/>
          <w:numId w:val="0"/>
        </w:numPr>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pPr>
      <w:bookmarkStart w:id="4" w:name="heading_6"/>
    </w:p>
    <w:p w14:paraId="7D3A719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小标宋_GBK" w:hAnsi="方正小标宋_GBK" w:eastAsia="方正小标宋_GBK" w:cs="方正小标宋_GBK"/>
          <w:color w:val="000000" w:themeColor="text1"/>
          <w:spacing w:val="11"/>
          <w:sz w:val="44"/>
          <w:szCs w:val="44"/>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pacing w:val="11"/>
          <w:sz w:val="44"/>
          <w:szCs w:val="44"/>
          <w:lang w:val="en-US" w:eastAsia="zh-CN"/>
          <w14:textFill>
            <w14:solidFill>
              <w14:schemeClr w14:val="tx1"/>
            </w14:solidFill>
          </w14:textFill>
        </w:rPr>
        <w:t>第三章  诊断规范</w:t>
      </w:r>
      <w:bookmarkEnd w:id="4"/>
    </w:p>
    <w:p w14:paraId="683E85B4">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p>
    <w:p w14:paraId="23DFAFDA">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kern w:val="0"/>
          <w:sz w:val="32"/>
          <w:szCs w:val="32"/>
          <w14:textFill>
            <w14:solidFill>
              <w14:schemeClr w14:val="tx1"/>
            </w14:solidFill>
          </w14:textFill>
        </w:rPr>
      </w:pPr>
      <w:bookmarkStart w:id="5" w:name="heading_7"/>
      <w:r>
        <w:rPr>
          <w:rFonts w:hint="eastAsia" w:ascii="黑体" w:hAnsi="黑体" w:eastAsia="黑体" w:cs="黑体"/>
          <w:color w:val="000000" w:themeColor="text1"/>
          <w:kern w:val="0"/>
          <w:sz w:val="32"/>
          <w:szCs w:val="32"/>
          <w14:textFill>
            <w14:solidFill>
              <w14:schemeClr w14:val="tx1"/>
            </w14:solidFill>
          </w14:textFill>
        </w:rPr>
        <w:t>一、诊断流程</w:t>
      </w:r>
      <w:bookmarkEnd w:id="5"/>
    </w:p>
    <w:p w14:paraId="758AF5B9">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（一）全面采集信息</w:t>
      </w:r>
    </w:p>
    <w:p w14:paraId="3B336920">
      <w:pPr>
        <w:keepNext w:val="0"/>
        <w:keepLines w:val="0"/>
        <w:pageBreakBefore w:val="0"/>
        <w:widowControl w:val="0"/>
        <w:kinsoku/>
        <w:wordWrap/>
        <w:overflowPunct/>
        <w:topLinePunct w:val="0"/>
        <w:autoSpaceDE/>
        <w:autoSpaceDN/>
        <w:bidi w:val="0"/>
        <w:adjustRightInd/>
        <w:snapToGrid/>
        <w:spacing w:line="586" w:lineRule="exact"/>
        <w:ind w:firstLine="616" w:firstLineChars="200"/>
        <w:jc w:val="both"/>
        <w:textAlignment w:val="auto"/>
        <w:rPr>
          <w:rFonts w:hint="eastAsia" w:ascii="仿宋_GB2312" w:hAnsi="仿宋_GB2312" w:eastAsia="仿宋_GB2312" w:cs="仿宋_GB2312"/>
          <w:color w:val="000000" w:themeColor="text1"/>
          <w:spacing w:val="-6"/>
          <w:kern w:val="0"/>
          <w:sz w:val="32"/>
          <w:szCs w:val="32"/>
          <w14:textFill>
            <w14:solidFill>
              <w14:schemeClr w14:val="tx1"/>
            </w14:solidFill>
          </w14:textFill>
        </w:rPr>
      </w:pPr>
      <w:r>
        <w:rPr>
          <w:rFonts w:hint="eastAsia" w:ascii="仿宋_GB2312" w:hAnsi="仿宋_GB2312" w:eastAsia="仿宋_GB2312" w:cs="仿宋_GB2312"/>
          <w:color w:val="000000" w:themeColor="text1"/>
          <w:spacing w:val="-6"/>
          <w:kern w:val="0"/>
          <w:sz w:val="32"/>
          <w:szCs w:val="32"/>
          <w14:textFill>
            <w14:solidFill>
              <w14:schemeClr w14:val="tx1"/>
            </w14:solidFill>
          </w14:textFill>
        </w:rPr>
        <w:t>通过面谈患者、询问知情者、查阅既往资料等方式，系统收集病史（现病史、既往史、个人史、家族史）及社会心理因素。</w:t>
      </w:r>
    </w:p>
    <w:p w14:paraId="49BE86CE">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（二）系统精神检查</w:t>
      </w:r>
    </w:p>
    <w:p w14:paraId="0E8AF221">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采用标准化访谈与观察，全面评估患者的认知、情感、意志行为及意识状态。</w:t>
      </w:r>
    </w:p>
    <w:p w14:paraId="069F1643">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（三）全面体格检查</w:t>
      </w:r>
    </w:p>
    <w:p w14:paraId="69E36A5E">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包括神经系统检查，以排除或识别躯体疾病所致精神障碍。</w:t>
      </w:r>
    </w:p>
    <w:p w14:paraId="29BB4079">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（四）必要的辅助检查</w:t>
      </w:r>
    </w:p>
    <w:p w14:paraId="61AE8A78">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根据病情需要，合理选择实验室检查（如血常规、生化、内分泌、感染指标、毒物筛查）、心理测量评估、物理检查（如心电图、脑电图、超声、颅脑</w:t>
      </w:r>
      <w:r>
        <w:rPr>
          <w:rFonts w:hint="eastAsia" w:ascii="Times New Roman" w:hAnsi="Times New Roman" w:eastAsia="仿宋_GB2312" w:cs="仿宋_GB2312"/>
          <w:color w:val="000000" w:themeColor="text1"/>
          <w:kern w:val="0"/>
          <w:sz w:val="32"/>
          <w:szCs w:val="32"/>
          <w14:textFill>
            <w14:solidFill>
              <w14:schemeClr w14:val="tx1"/>
            </w14:solidFill>
          </w14:textFill>
        </w:rPr>
        <w:t>CT</w:t>
      </w:r>
      <w:r>
        <w:rPr>
          <w:rFonts w:hint="eastAsia" w:ascii="仿宋_GB2312" w:hAnsi="仿宋_GB2312" w:eastAsia="仿宋_GB2312" w:cs="仿宋_GB2312"/>
          <w:color w:val="000000" w:themeColor="text1"/>
          <w:kern w:val="0"/>
          <w:sz w:val="32"/>
          <w:szCs w:val="32"/>
          <w14:textFill>
            <w14:solidFill>
              <w14:schemeClr w14:val="tx1"/>
            </w14:solidFill>
          </w14:textFill>
        </w:rPr>
        <w:t>或</w:t>
      </w:r>
      <w:r>
        <w:rPr>
          <w:rFonts w:hint="eastAsia" w:ascii="Times New Roman" w:hAnsi="Times New Roman" w:eastAsia="仿宋_GB2312" w:cs="仿宋_GB2312"/>
          <w:color w:val="000000" w:themeColor="text1"/>
          <w:kern w:val="0"/>
          <w:sz w:val="32"/>
          <w:szCs w:val="32"/>
          <w14:textFill>
            <w14:solidFill>
              <w14:schemeClr w14:val="tx1"/>
            </w14:solidFill>
          </w14:textFill>
        </w:rPr>
        <w:t>MRI</w:t>
      </w:r>
      <w:r>
        <w:rPr>
          <w:rFonts w:hint="eastAsia" w:ascii="仿宋_GB2312" w:hAnsi="仿宋_GB2312" w:eastAsia="仿宋_GB2312" w:cs="仿宋_GB2312"/>
          <w:color w:val="000000" w:themeColor="text1"/>
          <w:kern w:val="0"/>
          <w:sz w:val="32"/>
          <w:szCs w:val="32"/>
          <w14:textFill>
            <w14:solidFill>
              <w14:schemeClr w14:val="tx1"/>
            </w14:solidFill>
          </w14:textFill>
        </w:rPr>
        <w:t>等）。</w:t>
      </w:r>
    </w:p>
    <w:p w14:paraId="78B84A1E">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（五）综合分析与鉴别诊断</w:t>
      </w:r>
    </w:p>
    <w:p w14:paraId="73E91E1A">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综</w:t>
      </w:r>
      <w:r>
        <w:rPr>
          <w:rFonts w:hint="eastAsia" w:ascii="仿宋_GB2312" w:hAnsi="仿宋_GB2312" w:eastAsia="仿宋_GB2312" w:cs="仿宋_GB2312"/>
          <w:color w:val="000000" w:themeColor="text1"/>
          <w:kern w:val="0"/>
          <w:sz w:val="32"/>
          <w:szCs w:val="32"/>
          <w14:textFill>
            <w14:solidFill>
              <w14:schemeClr w14:val="tx1"/>
            </w14:solidFill>
          </w14:textFill>
        </w:rPr>
        <w:t>合</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以上</w:t>
      </w:r>
      <w:r>
        <w:rPr>
          <w:rFonts w:hint="eastAsia" w:ascii="仿宋_GB2312" w:hAnsi="仿宋_GB2312" w:eastAsia="仿宋_GB2312" w:cs="仿宋_GB2312"/>
          <w:color w:val="000000" w:themeColor="text1"/>
          <w:kern w:val="0"/>
          <w:sz w:val="32"/>
          <w:szCs w:val="32"/>
          <w14:textFill>
            <w14:solidFill>
              <w14:schemeClr w14:val="tx1"/>
            </w14:solidFill>
          </w14:textFill>
        </w:rPr>
        <w:t>所有信息，依据</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现行</w:t>
      </w:r>
      <w:r>
        <w:rPr>
          <w:rFonts w:hint="eastAsia" w:ascii="仿宋_GB2312" w:hAnsi="仿宋_GB2312" w:eastAsia="仿宋_GB2312" w:cs="仿宋_GB2312"/>
          <w:color w:val="000000" w:themeColor="text1"/>
          <w:kern w:val="0"/>
          <w:sz w:val="32"/>
          <w:szCs w:val="32"/>
          <w14:textFill>
            <w14:solidFill>
              <w14:schemeClr w14:val="tx1"/>
            </w14:solidFill>
          </w14:textFill>
        </w:rPr>
        <w:t>《国际精神与行为障碍分类（</w:t>
      </w:r>
      <w:r>
        <w:rPr>
          <w:rFonts w:hint="eastAsia" w:ascii="Times New Roman" w:hAnsi="Times New Roman" w:eastAsia="仿宋_GB2312" w:cs="仿宋_GB2312"/>
          <w:color w:val="000000" w:themeColor="text1"/>
          <w:kern w:val="0"/>
          <w:sz w:val="32"/>
          <w:szCs w:val="32"/>
          <w14:textFill>
            <w14:solidFill>
              <w14:schemeClr w14:val="tx1"/>
            </w14:solidFill>
          </w14:textFill>
        </w:rPr>
        <w:t>ICD</w:t>
      </w:r>
      <w:r>
        <w:rPr>
          <w:rFonts w:hint="eastAsia" w:ascii="仿宋_GB2312" w:hAnsi="仿宋_GB2312" w:eastAsia="仿宋_GB2312" w:cs="仿宋_GB2312"/>
          <w:color w:val="000000" w:themeColor="text1"/>
          <w:kern w:val="0"/>
          <w:sz w:val="32"/>
          <w:szCs w:val="32"/>
          <w14:textFill>
            <w14:solidFill>
              <w14:schemeClr w14:val="tx1"/>
            </w14:solidFill>
          </w14:textFill>
        </w:rPr>
        <w:t>-</w:t>
      </w:r>
      <w:r>
        <w:rPr>
          <w:rFonts w:hint="eastAsia" w:ascii="Times New Roman" w:hAnsi="Times New Roman" w:eastAsia="仿宋_GB2312" w:cs="仿宋_GB2312"/>
          <w:color w:val="000000" w:themeColor="text1"/>
          <w:kern w:val="0"/>
          <w:sz w:val="32"/>
          <w:szCs w:val="32"/>
          <w14:textFill>
            <w14:solidFill>
              <w14:schemeClr w14:val="tx1"/>
            </w14:solidFill>
          </w14:textFill>
        </w:rPr>
        <w:t>10</w:t>
      </w:r>
      <w:r>
        <w:rPr>
          <w:rFonts w:hint="eastAsia" w:ascii="仿宋_GB2312" w:hAnsi="仿宋_GB2312" w:eastAsia="仿宋_GB2312" w:cs="仿宋_GB2312"/>
          <w:color w:val="000000" w:themeColor="text1"/>
          <w:kern w:val="0"/>
          <w:sz w:val="32"/>
          <w:szCs w:val="32"/>
          <w14:textFill>
            <w14:solidFill>
              <w14:schemeClr w14:val="tx1"/>
            </w14:solidFill>
          </w14:textFill>
        </w:rPr>
        <w:t>）》，开展临床诊断与鉴别诊断。</w:t>
      </w:r>
    </w:p>
    <w:p w14:paraId="20E2A6D6">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kern w:val="0"/>
          <w:sz w:val="32"/>
          <w:szCs w:val="32"/>
          <w14:textFill>
            <w14:solidFill>
              <w14:schemeClr w14:val="tx1"/>
            </w14:solidFill>
          </w14:textFill>
        </w:rPr>
      </w:pPr>
      <w:bookmarkStart w:id="6" w:name="heading_8"/>
      <w:r>
        <w:rPr>
          <w:rFonts w:hint="eastAsia" w:ascii="黑体" w:hAnsi="黑体" w:eastAsia="黑体" w:cs="黑体"/>
          <w:color w:val="000000" w:themeColor="text1"/>
          <w:kern w:val="0"/>
          <w:sz w:val="32"/>
          <w:szCs w:val="32"/>
          <w14:textFill>
            <w14:solidFill>
              <w14:schemeClr w14:val="tx1"/>
            </w14:solidFill>
          </w14:textFill>
        </w:rPr>
        <w:t>二、诊断记录</w:t>
      </w:r>
      <w:bookmarkEnd w:id="6"/>
    </w:p>
    <w:p w14:paraId="7A5B484A">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诊断结论应在病历中清晰记录，包括主要诊断、次要诊断及诊断依据。对于诊断存疑或复杂的病例，应组织科内或院内查房讨论。对于公安部门</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送诊</w:t>
      </w:r>
      <w:r>
        <w:rPr>
          <w:rFonts w:hint="eastAsia" w:ascii="仿宋_GB2312" w:hAnsi="仿宋_GB2312" w:eastAsia="仿宋_GB2312" w:cs="仿宋_GB2312"/>
          <w:color w:val="000000" w:themeColor="text1"/>
          <w:kern w:val="0"/>
          <w:sz w:val="32"/>
          <w:szCs w:val="32"/>
          <w14:textFill>
            <w14:solidFill>
              <w14:schemeClr w14:val="tx1"/>
            </w14:solidFill>
          </w14:textFill>
        </w:rPr>
        <w:t>的疑似精神障碍患者，</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医疗机构</w:t>
      </w:r>
      <w:r>
        <w:rPr>
          <w:rFonts w:hint="eastAsia" w:ascii="仿宋_GB2312" w:hAnsi="仿宋_GB2312" w:eastAsia="仿宋_GB2312" w:cs="仿宋_GB2312"/>
          <w:color w:val="000000" w:themeColor="text1"/>
          <w:spacing w:val="-6"/>
          <w:kern w:val="0"/>
          <w:sz w:val="32"/>
          <w:szCs w:val="32"/>
          <w:lang w:val="en-US" w:eastAsia="zh-CN"/>
          <w14:textFill>
            <w14:solidFill>
              <w14:schemeClr w14:val="tx1"/>
            </w14:solidFill>
          </w14:textFill>
        </w:rPr>
        <w:t>应当立即</w:t>
      </w:r>
      <w:r>
        <w:rPr>
          <w:rFonts w:hint="eastAsia" w:ascii="仿宋_GB2312" w:hAnsi="仿宋_GB2312" w:eastAsia="仿宋_GB2312" w:cs="仿宋_GB2312"/>
          <w:color w:val="000000" w:themeColor="text1"/>
          <w:spacing w:val="-6"/>
          <w:kern w:val="0"/>
          <w:sz w:val="32"/>
          <w:szCs w:val="32"/>
          <w14:textFill>
            <w14:solidFill>
              <w14:schemeClr w14:val="tx1"/>
            </w14:solidFill>
          </w14:textFill>
        </w:rPr>
        <w:t>指派精神科执业医师</w:t>
      </w:r>
      <w:r>
        <w:rPr>
          <w:rFonts w:hint="eastAsia" w:ascii="仿宋_GB2312" w:hAnsi="仿宋_GB2312" w:eastAsia="仿宋_GB2312" w:cs="仿宋_GB2312"/>
          <w:color w:val="000000" w:themeColor="text1"/>
          <w:spacing w:val="-6"/>
          <w:kern w:val="0"/>
          <w:sz w:val="32"/>
          <w:szCs w:val="32"/>
          <w:lang w:val="en-US" w:eastAsia="zh-CN"/>
          <w14:textFill>
            <w14:solidFill>
              <w14:schemeClr w14:val="tx1"/>
            </w14:solidFill>
          </w14:textFill>
        </w:rPr>
        <w:t>进行</w:t>
      </w:r>
      <w:r>
        <w:rPr>
          <w:rFonts w:hint="eastAsia" w:ascii="仿宋_GB2312" w:hAnsi="仿宋_GB2312" w:eastAsia="仿宋_GB2312" w:cs="仿宋_GB2312"/>
          <w:color w:val="000000" w:themeColor="text1"/>
          <w:spacing w:val="-6"/>
          <w:kern w:val="0"/>
          <w:sz w:val="32"/>
          <w:szCs w:val="32"/>
          <w14:textFill>
            <w14:solidFill>
              <w14:schemeClr w14:val="tx1"/>
            </w14:solidFill>
          </w14:textFill>
        </w:rPr>
        <w:t>诊断，并</w:t>
      </w:r>
      <w:r>
        <w:rPr>
          <w:rFonts w:hint="eastAsia" w:ascii="仿宋_GB2312" w:hAnsi="仿宋_GB2312" w:eastAsia="仿宋_GB2312" w:cs="仿宋_GB2312"/>
          <w:color w:val="000000" w:themeColor="text1"/>
          <w:spacing w:val="-6"/>
          <w:kern w:val="0"/>
          <w:sz w:val="32"/>
          <w:szCs w:val="32"/>
          <w:lang w:val="en-US" w:eastAsia="zh-CN"/>
          <w14:textFill>
            <w14:solidFill>
              <w14:schemeClr w14:val="tx1"/>
            </w14:solidFill>
          </w14:textFill>
        </w:rPr>
        <w:t>及时</w:t>
      </w:r>
      <w:r>
        <w:rPr>
          <w:rFonts w:hint="eastAsia" w:ascii="仿宋_GB2312" w:hAnsi="仿宋_GB2312" w:eastAsia="仿宋_GB2312" w:cs="仿宋_GB2312"/>
          <w:color w:val="000000" w:themeColor="text1"/>
          <w:spacing w:val="-6"/>
          <w:kern w:val="0"/>
          <w:sz w:val="32"/>
          <w:szCs w:val="32"/>
          <w14:textFill>
            <w14:solidFill>
              <w14:schemeClr w14:val="tx1"/>
            </w14:solidFill>
          </w14:textFill>
        </w:rPr>
        <w:t>出具诊断结论。如</w:t>
      </w:r>
      <w:r>
        <w:rPr>
          <w:rFonts w:hint="eastAsia" w:ascii="Times New Roman" w:hAnsi="Times New Roman" w:eastAsia="仿宋_GB2312" w:cs="仿宋_GB2312"/>
          <w:color w:val="000000" w:themeColor="text1"/>
          <w:spacing w:val="-6"/>
          <w:kern w:val="0"/>
          <w:sz w:val="32"/>
          <w:szCs w:val="32"/>
          <w:lang w:val="en-US" w:eastAsia="zh-CN"/>
          <w14:textFill>
            <w14:solidFill>
              <w14:schemeClr w14:val="tx1"/>
            </w14:solidFill>
          </w14:textFill>
        </w:rPr>
        <w:t>72</w:t>
      </w:r>
      <w:r>
        <w:rPr>
          <w:rFonts w:hint="eastAsia" w:ascii="仿宋_GB2312" w:hAnsi="仿宋_GB2312" w:eastAsia="仿宋_GB2312" w:cs="仿宋_GB2312"/>
          <w:color w:val="000000" w:themeColor="text1"/>
          <w:spacing w:val="-6"/>
          <w:kern w:val="0"/>
          <w:sz w:val="32"/>
          <w:szCs w:val="32"/>
          <w:lang w:val="en-US" w:eastAsia="zh-CN"/>
          <w14:textFill>
            <w14:solidFill>
              <w14:schemeClr w14:val="tx1"/>
            </w14:solidFill>
          </w14:textFill>
        </w:rPr>
        <w:t>小时</w:t>
      </w:r>
      <w:r>
        <w:rPr>
          <w:rFonts w:hint="eastAsia" w:ascii="仿宋_GB2312" w:hAnsi="仿宋_GB2312" w:eastAsia="仿宋_GB2312" w:cs="仿宋_GB2312"/>
          <w:color w:val="000000" w:themeColor="text1"/>
          <w:spacing w:val="-6"/>
          <w:kern w:val="0"/>
          <w:sz w:val="32"/>
          <w:szCs w:val="32"/>
          <w14:textFill>
            <w14:solidFill>
              <w14:schemeClr w14:val="tx1"/>
            </w14:solidFill>
          </w14:textFill>
        </w:rPr>
        <w:t>内无法明确诊断，应及时请上级医院会诊或转诊。</w:t>
      </w:r>
    </w:p>
    <w:p w14:paraId="5F996CFF">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三、严重精神障碍诊断规范</w:t>
      </w:r>
    </w:p>
    <w:p w14:paraId="65DDA115">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根据《严重精神障碍管理治疗工作规范（</w:t>
      </w:r>
      <w:r>
        <w:rPr>
          <w:rFonts w:hint="eastAsia" w:ascii="Times New Roman" w:hAnsi="Times New Roman" w:eastAsia="仿宋_GB2312" w:cs="仿宋_GB2312"/>
          <w:color w:val="000000" w:themeColor="text1"/>
          <w:kern w:val="0"/>
          <w:sz w:val="32"/>
          <w:szCs w:val="32"/>
          <w14:textFill>
            <w14:solidFill>
              <w14:schemeClr w14:val="tx1"/>
            </w14:solidFill>
          </w14:textFill>
        </w:rPr>
        <w:t>2018</w:t>
      </w:r>
      <w:r>
        <w:rPr>
          <w:rFonts w:hint="eastAsia" w:ascii="仿宋_GB2312" w:hAnsi="仿宋_GB2312" w:eastAsia="仿宋_GB2312" w:cs="仿宋_GB2312"/>
          <w:color w:val="000000" w:themeColor="text1"/>
          <w:kern w:val="0"/>
          <w:sz w:val="32"/>
          <w:szCs w:val="32"/>
          <w14:textFill>
            <w14:solidFill>
              <w14:schemeClr w14:val="tx1"/>
            </w14:solidFill>
          </w14:textFill>
        </w:rPr>
        <w:t>年版）》及《精神障碍诊疗规范（</w:t>
      </w:r>
      <w:r>
        <w:rPr>
          <w:rFonts w:hint="eastAsia" w:ascii="Times New Roman" w:hAnsi="Times New Roman" w:eastAsia="仿宋_GB2312" w:cs="仿宋_GB2312"/>
          <w:color w:val="000000" w:themeColor="text1"/>
          <w:kern w:val="0"/>
          <w:sz w:val="32"/>
          <w:szCs w:val="32"/>
          <w14:textFill>
            <w14:solidFill>
              <w14:schemeClr w14:val="tx1"/>
            </w14:solidFill>
          </w14:textFill>
        </w:rPr>
        <w:t>2020</w:t>
      </w:r>
      <w:r>
        <w:rPr>
          <w:rFonts w:hint="eastAsia" w:ascii="仿宋_GB2312" w:hAnsi="仿宋_GB2312" w:eastAsia="仿宋_GB2312" w:cs="仿宋_GB2312"/>
          <w:color w:val="000000" w:themeColor="text1"/>
          <w:kern w:val="0"/>
          <w:sz w:val="32"/>
          <w:szCs w:val="32"/>
          <w14:textFill>
            <w14:solidFill>
              <w14:schemeClr w14:val="tx1"/>
            </w14:solidFill>
          </w14:textFill>
        </w:rPr>
        <w:t>年版）》，以下六种严重精神障碍为重点管理病种，其诊断应符合以下相应规范。</w:t>
      </w:r>
    </w:p>
    <w:p w14:paraId="67DB35BA">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（一）精神分裂症谱系障碍</w:t>
      </w:r>
    </w:p>
    <w:p w14:paraId="149F043C">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14:textFill>
            <w14:solidFill>
              <w14:schemeClr w14:val="tx1"/>
            </w14:solidFill>
          </w14:textFill>
        </w:rPr>
        <w:t>1</w:t>
      </w:r>
      <w:r>
        <w:rPr>
          <w:rFonts w:hint="eastAsia" w:ascii="仿宋_GB2312" w:hAnsi="仿宋_GB2312" w:eastAsia="仿宋_GB2312" w:cs="仿宋_GB2312"/>
          <w:color w:val="000000" w:themeColor="text1"/>
          <w:kern w:val="0"/>
          <w:sz w:val="32"/>
          <w:szCs w:val="32"/>
          <w14:textFill>
            <w14:solidFill>
              <w14:schemeClr w14:val="tx1"/>
            </w14:solidFill>
          </w14:textFill>
        </w:rPr>
        <w:t>.诊断要点</w:t>
      </w:r>
    </w:p>
    <w:p w14:paraId="34DA7FDA">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存在思维形式障碍、妄想、幻觉、行为紊乱等阳性症状，或情感淡漠、意志减退等阴性症状；症状持续至少</w:t>
      </w:r>
      <w:r>
        <w:rPr>
          <w:rFonts w:hint="eastAsia" w:ascii="Times New Roman" w:hAnsi="Times New Roman" w:eastAsia="仿宋_GB2312" w:cs="仿宋_GB2312"/>
          <w:color w:val="000000" w:themeColor="text1"/>
          <w:kern w:val="0"/>
          <w:sz w:val="32"/>
          <w:szCs w:val="32"/>
          <w14:textFill>
            <w14:solidFill>
              <w14:schemeClr w14:val="tx1"/>
            </w14:solidFill>
          </w14:textFill>
        </w:rPr>
        <w:t>1</w:t>
      </w:r>
      <w:r>
        <w:rPr>
          <w:rFonts w:hint="eastAsia" w:ascii="仿宋_GB2312" w:hAnsi="仿宋_GB2312" w:eastAsia="仿宋_GB2312" w:cs="仿宋_GB2312"/>
          <w:color w:val="000000" w:themeColor="text1"/>
          <w:kern w:val="0"/>
          <w:sz w:val="32"/>
          <w:szCs w:val="32"/>
          <w14:textFill>
            <w14:solidFill>
              <w14:schemeClr w14:val="tx1"/>
            </w14:solidFill>
          </w14:textFill>
        </w:rPr>
        <w:t>个月（单纯型另有规定）；社会功能明显受损；排除器质性精神障碍、精神活性物质所致精神障碍。</w:t>
      </w:r>
    </w:p>
    <w:p w14:paraId="3D16135E">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bookmarkStart w:id="7" w:name="heading_12"/>
      <w:r>
        <w:rPr>
          <w:rFonts w:hint="eastAsia" w:ascii="Times New Roman" w:hAnsi="Times New Roman" w:eastAsia="仿宋_GB2312" w:cs="仿宋_GB2312"/>
          <w:color w:val="000000" w:themeColor="text1"/>
          <w:kern w:val="0"/>
          <w:sz w:val="32"/>
          <w:szCs w:val="32"/>
          <w14:textFill>
            <w14:solidFill>
              <w14:schemeClr w14:val="tx1"/>
            </w14:solidFill>
          </w14:textFill>
        </w:rPr>
        <w:t>2</w:t>
      </w:r>
      <w:r>
        <w:rPr>
          <w:rFonts w:hint="eastAsia" w:ascii="仿宋_GB2312" w:hAnsi="仿宋_GB2312" w:eastAsia="仿宋_GB2312" w:cs="仿宋_GB2312"/>
          <w:color w:val="000000" w:themeColor="text1"/>
          <w:kern w:val="0"/>
          <w:sz w:val="32"/>
          <w:szCs w:val="32"/>
          <w14:textFill>
            <w14:solidFill>
              <w14:schemeClr w14:val="tx1"/>
            </w14:solidFill>
          </w14:textFill>
        </w:rPr>
        <w:t>.诊断依据</w:t>
      </w:r>
    </w:p>
    <w:p w14:paraId="4F6FA7DA">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符合</w:t>
      </w:r>
      <w:r>
        <w:rPr>
          <w:rFonts w:hint="eastAsia" w:ascii="Times New Roman" w:hAnsi="Times New Roman" w:eastAsia="仿宋_GB2312" w:cs="仿宋_GB2312"/>
          <w:color w:val="000000" w:themeColor="text1"/>
          <w:kern w:val="0"/>
          <w:sz w:val="32"/>
          <w:szCs w:val="32"/>
          <w14:textFill>
            <w14:solidFill>
              <w14:schemeClr w14:val="tx1"/>
            </w14:solidFill>
          </w14:textFill>
        </w:rPr>
        <w:t>ICD</w:t>
      </w:r>
      <w:r>
        <w:rPr>
          <w:rFonts w:hint="eastAsia" w:ascii="仿宋_GB2312" w:hAnsi="仿宋_GB2312" w:eastAsia="仿宋_GB2312" w:cs="仿宋_GB2312"/>
          <w:color w:val="000000" w:themeColor="text1"/>
          <w:kern w:val="0"/>
          <w:sz w:val="32"/>
          <w:szCs w:val="32"/>
          <w14:textFill>
            <w14:solidFill>
              <w14:schemeClr w14:val="tx1"/>
            </w14:solidFill>
          </w14:textFill>
        </w:rPr>
        <w:t>-</w:t>
      </w:r>
      <w:r>
        <w:rPr>
          <w:rFonts w:hint="eastAsia" w:ascii="Times New Roman" w:hAnsi="Times New Roman" w:eastAsia="仿宋_GB2312" w:cs="仿宋_GB2312"/>
          <w:color w:val="000000" w:themeColor="text1"/>
          <w:kern w:val="0"/>
          <w:sz w:val="32"/>
          <w:szCs w:val="32"/>
          <w14:textFill>
            <w14:solidFill>
              <w14:schemeClr w14:val="tx1"/>
            </w14:solidFill>
          </w14:textFill>
        </w:rPr>
        <w:t>10</w:t>
      </w: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 </w:t>
      </w:r>
      <w:r>
        <w:rPr>
          <w:rFonts w:hint="eastAsia" w:ascii="Times New Roman" w:hAnsi="Times New Roman" w:eastAsia="仿宋_GB2312" w:cs="仿宋_GB2312"/>
          <w:color w:val="000000" w:themeColor="text1"/>
          <w:kern w:val="0"/>
          <w:sz w:val="32"/>
          <w:szCs w:val="32"/>
          <w14:textFill>
            <w14:solidFill>
              <w14:schemeClr w14:val="tx1"/>
            </w14:solidFill>
          </w14:textFill>
        </w:rPr>
        <w:t>F20</w:t>
      </w:r>
      <w:r>
        <w:rPr>
          <w:rFonts w:hint="eastAsia" w:ascii="仿宋_GB2312" w:hAnsi="仿宋_GB2312" w:eastAsia="仿宋_GB2312" w:cs="仿宋_GB2312"/>
          <w:color w:val="000000" w:themeColor="text1"/>
          <w:kern w:val="0"/>
          <w:sz w:val="32"/>
          <w:szCs w:val="32"/>
          <w14:textFill>
            <w14:solidFill>
              <w14:schemeClr w14:val="tx1"/>
            </w14:solidFill>
          </w14:textFill>
        </w:rPr>
        <w:t>精神分裂症诊断标准。</w:t>
      </w:r>
    </w:p>
    <w:p w14:paraId="06FCA414">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（二）分裂情感性障碍</w:t>
      </w:r>
      <w:bookmarkEnd w:id="7"/>
    </w:p>
    <w:p w14:paraId="2943AFD8">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14:textFill>
            <w14:solidFill>
              <w14:schemeClr w14:val="tx1"/>
            </w14:solidFill>
          </w14:textFill>
        </w:rPr>
        <w:t>1</w:t>
      </w:r>
      <w:r>
        <w:rPr>
          <w:rFonts w:hint="eastAsia" w:ascii="仿宋_GB2312" w:hAnsi="仿宋_GB2312" w:eastAsia="仿宋_GB2312" w:cs="仿宋_GB2312"/>
          <w:color w:val="000000" w:themeColor="text1"/>
          <w:kern w:val="0"/>
          <w:sz w:val="32"/>
          <w:szCs w:val="32"/>
          <w14:textFill>
            <w14:solidFill>
              <w14:schemeClr w14:val="tx1"/>
            </w14:solidFill>
          </w14:textFill>
        </w:rPr>
        <w:t>.诊断要点</w:t>
      </w:r>
    </w:p>
    <w:p w14:paraId="62F2E421">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同时存在精神分裂症症状和情感症状（躁狂或抑郁）；两种症状在病程中均占主导地位，同样突出；病程呈间歇性，缓解期基本正常；排除器质性精神障碍、精神活性物质所致精神障碍。</w:t>
      </w:r>
    </w:p>
    <w:p w14:paraId="74508BDD">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14:textFill>
            <w14:solidFill>
              <w14:schemeClr w14:val="tx1"/>
            </w14:solidFill>
          </w14:textFill>
        </w:rPr>
        <w:t>2</w:t>
      </w:r>
      <w:r>
        <w:rPr>
          <w:rFonts w:hint="eastAsia" w:ascii="仿宋_GB2312" w:hAnsi="仿宋_GB2312" w:eastAsia="仿宋_GB2312" w:cs="仿宋_GB2312"/>
          <w:color w:val="000000" w:themeColor="text1"/>
          <w:kern w:val="0"/>
          <w:sz w:val="32"/>
          <w:szCs w:val="32"/>
          <w14:textFill>
            <w14:solidFill>
              <w14:schemeClr w14:val="tx1"/>
            </w14:solidFill>
          </w14:textFill>
        </w:rPr>
        <w:t>.诊断依据</w:t>
      </w:r>
    </w:p>
    <w:p w14:paraId="16B80087">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符合</w:t>
      </w:r>
      <w:r>
        <w:rPr>
          <w:rFonts w:hint="eastAsia" w:ascii="Times New Roman" w:hAnsi="Times New Roman" w:eastAsia="仿宋_GB2312" w:cs="仿宋_GB2312"/>
          <w:color w:val="000000" w:themeColor="text1"/>
          <w:kern w:val="0"/>
          <w:sz w:val="32"/>
          <w:szCs w:val="32"/>
          <w14:textFill>
            <w14:solidFill>
              <w14:schemeClr w14:val="tx1"/>
            </w14:solidFill>
          </w14:textFill>
        </w:rPr>
        <w:t>ICD</w:t>
      </w:r>
      <w:r>
        <w:rPr>
          <w:rFonts w:hint="eastAsia" w:ascii="仿宋_GB2312" w:hAnsi="仿宋_GB2312" w:eastAsia="仿宋_GB2312" w:cs="仿宋_GB2312"/>
          <w:color w:val="000000" w:themeColor="text1"/>
          <w:kern w:val="0"/>
          <w:sz w:val="32"/>
          <w:szCs w:val="32"/>
          <w14:textFill>
            <w14:solidFill>
              <w14:schemeClr w14:val="tx1"/>
            </w14:solidFill>
          </w14:textFill>
        </w:rPr>
        <w:t>-</w:t>
      </w:r>
      <w:r>
        <w:rPr>
          <w:rFonts w:hint="eastAsia" w:ascii="Times New Roman" w:hAnsi="Times New Roman" w:eastAsia="仿宋_GB2312" w:cs="仿宋_GB2312"/>
          <w:color w:val="000000" w:themeColor="text1"/>
          <w:kern w:val="0"/>
          <w:sz w:val="32"/>
          <w:szCs w:val="32"/>
          <w14:textFill>
            <w14:solidFill>
              <w14:schemeClr w14:val="tx1"/>
            </w14:solidFill>
          </w14:textFill>
        </w:rPr>
        <w:t>10</w:t>
      </w: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 </w:t>
      </w:r>
      <w:r>
        <w:rPr>
          <w:rFonts w:hint="eastAsia" w:ascii="Times New Roman" w:hAnsi="Times New Roman" w:eastAsia="仿宋_GB2312" w:cs="仿宋_GB2312"/>
          <w:color w:val="000000" w:themeColor="text1"/>
          <w:kern w:val="0"/>
          <w:sz w:val="32"/>
          <w:szCs w:val="32"/>
          <w14:textFill>
            <w14:solidFill>
              <w14:schemeClr w14:val="tx1"/>
            </w14:solidFill>
          </w14:textFill>
        </w:rPr>
        <w:t>F25</w:t>
      </w:r>
      <w:r>
        <w:rPr>
          <w:rFonts w:hint="eastAsia" w:ascii="仿宋_GB2312" w:hAnsi="仿宋_GB2312" w:eastAsia="仿宋_GB2312" w:cs="仿宋_GB2312"/>
          <w:color w:val="000000" w:themeColor="text1"/>
          <w:kern w:val="0"/>
          <w:sz w:val="32"/>
          <w:szCs w:val="32"/>
          <w14:textFill>
            <w14:solidFill>
              <w14:schemeClr w14:val="tx1"/>
            </w14:solidFill>
          </w14:textFill>
        </w:rPr>
        <w:t>分裂情感性障碍诊断标准。</w:t>
      </w:r>
    </w:p>
    <w:p w14:paraId="254E15E6">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（三）偏执性精神障碍</w:t>
      </w:r>
    </w:p>
    <w:p w14:paraId="620CF227">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14:textFill>
            <w14:solidFill>
              <w14:schemeClr w14:val="tx1"/>
            </w14:solidFill>
          </w14:textFill>
        </w:rPr>
        <w:t>1</w:t>
      </w:r>
      <w:r>
        <w:rPr>
          <w:rFonts w:hint="eastAsia" w:ascii="仿宋_GB2312" w:hAnsi="仿宋_GB2312" w:eastAsia="仿宋_GB2312" w:cs="仿宋_GB2312"/>
          <w:color w:val="000000" w:themeColor="text1"/>
          <w:kern w:val="0"/>
          <w:sz w:val="32"/>
          <w:szCs w:val="32"/>
          <w14:textFill>
            <w14:solidFill>
              <w14:schemeClr w14:val="tx1"/>
            </w14:solidFill>
          </w14:textFill>
        </w:rPr>
        <w:t>.诊断要点</w:t>
      </w:r>
    </w:p>
    <w:p w14:paraId="1BC92A77">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以系统性妄想为主要临床相，内容相对固定；一般不伴有幻觉，或幻觉不突出；人格保持相对完整，社会功能在妄想不涉及的领域基本正常；病程持续至少</w:t>
      </w:r>
      <w:r>
        <w:rPr>
          <w:rFonts w:hint="eastAsia" w:ascii="Times New Roman" w:hAnsi="Times New Roman" w:eastAsia="仿宋_GB2312" w:cs="仿宋_GB2312"/>
          <w:color w:val="000000" w:themeColor="text1"/>
          <w:kern w:val="0"/>
          <w:sz w:val="32"/>
          <w:szCs w:val="32"/>
          <w14:textFill>
            <w14:solidFill>
              <w14:schemeClr w14:val="tx1"/>
            </w14:solidFill>
          </w14:textFill>
        </w:rPr>
        <w:t>3</w:t>
      </w:r>
      <w:r>
        <w:rPr>
          <w:rFonts w:hint="eastAsia" w:ascii="仿宋_GB2312" w:hAnsi="仿宋_GB2312" w:eastAsia="仿宋_GB2312" w:cs="仿宋_GB2312"/>
          <w:color w:val="000000" w:themeColor="text1"/>
          <w:kern w:val="0"/>
          <w:sz w:val="32"/>
          <w:szCs w:val="32"/>
          <w14:textFill>
            <w14:solidFill>
              <w14:schemeClr w14:val="tx1"/>
            </w14:solidFill>
          </w14:textFill>
        </w:rPr>
        <w:t>个月。</w:t>
      </w:r>
    </w:p>
    <w:p w14:paraId="4A8BDBE6">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14:textFill>
            <w14:solidFill>
              <w14:schemeClr w14:val="tx1"/>
            </w14:solidFill>
          </w14:textFill>
        </w:rPr>
        <w:t>2</w:t>
      </w:r>
      <w:r>
        <w:rPr>
          <w:rFonts w:hint="eastAsia" w:ascii="仿宋_GB2312" w:hAnsi="仿宋_GB2312" w:eastAsia="仿宋_GB2312" w:cs="仿宋_GB2312"/>
          <w:color w:val="000000" w:themeColor="text1"/>
          <w:kern w:val="0"/>
          <w:sz w:val="32"/>
          <w:szCs w:val="32"/>
          <w14:textFill>
            <w14:solidFill>
              <w14:schemeClr w14:val="tx1"/>
            </w14:solidFill>
          </w14:textFill>
        </w:rPr>
        <w:t>.诊断依据</w:t>
      </w:r>
    </w:p>
    <w:p w14:paraId="1DC55227">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符合</w:t>
      </w:r>
      <w:r>
        <w:rPr>
          <w:rFonts w:hint="eastAsia" w:ascii="Times New Roman" w:hAnsi="Times New Roman" w:eastAsia="仿宋_GB2312" w:cs="仿宋_GB2312"/>
          <w:color w:val="000000" w:themeColor="text1"/>
          <w:kern w:val="0"/>
          <w:sz w:val="32"/>
          <w:szCs w:val="32"/>
          <w14:textFill>
            <w14:solidFill>
              <w14:schemeClr w14:val="tx1"/>
            </w14:solidFill>
          </w14:textFill>
        </w:rPr>
        <w:t>ICD</w:t>
      </w:r>
      <w:r>
        <w:rPr>
          <w:rFonts w:hint="eastAsia" w:ascii="仿宋_GB2312" w:hAnsi="仿宋_GB2312" w:eastAsia="仿宋_GB2312" w:cs="仿宋_GB2312"/>
          <w:color w:val="000000" w:themeColor="text1"/>
          <w:kern w:val="0"/>
          <w:sz w:val="32"/>
          <w:szCs w:val="32"/>
          <w14:textFill>
            <w14:solidFill>
              <w14:schemeClr w14:val="tx1"/>
            </w14:solidFill>
          </w14:textFill>
        </w:rPr>
        <w:t>-</w:t>
      </w:r>
      <w:r>
        <w:rPr>
          <w:rFonts w:hint="eastAsia" w:ascii="Times New Roman" w:hAnsi="Times New Roman" w:eastAsia="仿宋_GB2312" w:cs="仿宋_GB2312"/>
          <w:color w:val="000000" w:themeColor="text1"/>
          <w:kern w:val="0"/>
          <w:sz w:val="32"/>
          <w:szCs w:val="32"/>
          <w14:textFill>
            <w14:solidFill>
              <w14:schemeClr w14:val="tx1"/>
            </w14:solidFill>
          </w14:textFill>
        </w:rPr>
        <w:t>10</w:t>
      </w: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 </w:t>
      </w:r>
      <w:r>
        <w:rPr>
          <w:rFonts w:hint="eastAsia" w:ascii="Times New Roman" w:hAnsi="Times New Roman" w:eastAsia="仿宋_GB2312" w:cs="仿宋_GB2312"/>
          <w:color w:val="000000" w:themeColor="text1"/>
          <w:kern w:val="0"/>
          <w:sz w:val="32"/>
          <w:szCs w:val="32"/>
          <w14:textFill>
            <w14:solidFill>
              <w14:schemeClr w14:val="tx1"/>
            </w14:solidFill>
          </w14:textFill>
        </w:rPr>
        <w:t>F22</w:t>
      </w:r>
      <w:r>
        <w:rPr>
          <w:rFonts w:hint="eastAsia" w:ascii="仿宋_GB2312" w:hAnsi="仿宋_GB2312" w:eastAsia="仿宋_GB2312" w:cs="仿宋_GB2312"/>
          <w:color w:val="000000" w:themeColor="text1"/>
          <w:kern w:val="0"/>
          <w:sz w:val="32"/>
          <w:szCs w:val="32"/>
          <w14:textFill>
            <w14:solidFill>
              <w14:schemeClr w14:val="tx1"/>
            </w14:solidFill>
          </w14:textFill>
        </w:rPr>
        <w:t>偏执性精神障碍或持久的妄想性障碍诊断标准。</w:t>
      </w:r>
    </w:p>
    <w:p w14:paraId="450C3894">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（四）双相情感障碍</w:t>
      </w:r>
    </w:p>
    <w:p w14:paraId="1B109BBE">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14:textFill>
            <w14:solidFill>
              <w14:schemeClr w14:val="tx1"/>
            </w14:solidFill>
          </w14:textFill>
        </w:rPr>
        <w:t>1</w:t>
      </w:r>
      <w:r>
        <w:rPr>
          <w:rFonts w:hint="eastAsia" w:ascii="仿宋_GB2312" w:hAnsi="仿宋_GB2312" w:eastAsia="仿宋_GB2312" w:cs="仿宋_GB2312"/>
          <w:color w:val="000000" w:themeColor="text1"/>
          <w:kern w:val="0"/>
          <w:sz w:val="32"/>
          <w:szCs w:val="32"/>
          <w14:textFill>
            <w14:solidFill>
              <w14:schemeClr w14:val="tx1"/>
            </w14:solidFill>
          </w14:textFill>
        </w:rPr>
        <w:t>.诊断要点</w:t>
      </w:r>
    </w:p>
    <w:p w14:paraId="2D1C64A3">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至少有一次躁狂或轻躁狂发作史，可伴有抑郁发作；躁狂发作：情绪显著高涨，活动明显增多，思维奔逸，病程≥</w:t>
      </w:r>
      <w:r>
        <w:rPr>
          <w:rFonts w:hint="eastAsia" w:ascii="Times New Roman" w:hAnsi="Times New Roman" w:eastAsia="仿宋_GB2312" w:cs="仿宋_GB2312"/>
          <w:color w:val="000000" w:themeColor="text1"/>
          <w:kern w:val="0"/>
          <w:sz w:val="32"/>
          <w:szCs w:val="32"/>
          <w14:textFill>
            <w14:solidFill>
              <w14:schemeClr w14:val="tx1"/>
            </w14:solidFill>
          </w14:textFill>
        </w:rPr>
        <w:t>1</w:t>
      </w:r>
      <w:r>
        <w:rPr>
          <w:rFonts w:hint="eastAsia" w:ascii="仿宋_GB2312" w:hAnsi="仿宋_GB2312" w:eastAsia="仿宋_GB2312" w:cs="仿宋_GB2312"/>
          <w:color w:val="000000" w:themeColor="text1"/>
          <w:kern w:val="0"/>
          <w:sz w:val="32"/>
          <w:szCs w:val="32"/>
          <w14:textFill>
            <w14:solidFill>
              <w14:schemeClr w14:val="tx1"/>
            </w14:solidFill>
          </w14:textFill>
        </w:rPr>
        <w:t>周；轻躁狂发作：情绪高涨、精力充沛、活动增多，持续≥</w:t>
      </w:r>
      <w:r>
        <w:rPr>
          <w:rFonts w:hint="eastAsia" w:ascii="Times New Roman" w:hAnsi="Times New Roman" w:eastAsia="仿宋_GB2312" w:cs="仿宋_GB2312"/>
          <w:color w:val="000000" w:themeColor="text1"/>
          <w:kern w:val="0"/>
          <w:sz w:val="32"/>
          <w:szCs w:val="32"/>
          <w14:textFill>
            <w14:solidFill>
              <w14:schemeClr w14:val="tx1"/>
            </w14:solidFill>
          </w14:textFill>
        </w:rPr>
        <w:t>4</w:t>
      </w:r>
      <w:r>
        <w:rPr>
          <w:rFonts w:hint="eastAsia" w:ascii="仿宋_GB2312" w:hAnsi="仿宋_GB2312" w:eastAsia="仿宋_GB2312" w:cs="仿宋_GB2312"/>
          <w:color w:val="000000" w:themeColor="text1"/>
          <w:kern w:val="0"/>
          <w:sz w:val="32"/>
          <w:szCs w:val="32"/>
          <w14:textFill>
            <w14:solidFill>
              <w14:schemeClr w14:val="tx1"/>
            </w14:solidFill>
          </w14:textFill>
        </w:rPr>
        <w:t>天，社会功能轻度影响；抑郁发作：情绪低落、兴趣减退、快感缺失，持续≥</w:t>
      </w:r>
      <w:r>
        <w:rPr>
          <w:rFonts w:hint="eastAsia" w:ascii="Times New Roman" w:hAnsi="Times New Roman" w:eastAsia="仿宋_GB2312" w:cs="仿宋_GB2312"/>
          <w:color w:val="000000" w:themeColor="text1"/>
          <w:kern w:val="0"/>
          <w:sz w:val="32"/>
          <w:szCs w:val="32"/>
          <w14:textFill>
            <w14:solidFill>
              <w14:schemeClr w14:val="tx1"/>
            </w14:solidFill>
          </w14:textFill>
        </w:rPr>
        <w:t>2</w:t>
      </w:r>
      <w:r>
        <w:rPr>
          <w:rFonts w:hint="eastAsia" w:ascii="仿宋_GB2312" w:hAnsi="仿宋_GB2312" w:eastAsia="仿宋_GB2312" w:cs="仿宋_GB2312"/>
          <w:color w:val="000000" w:themeColor="text1"/>
          <w:kern w:val="0"/>
          <w:sz w:val="32"/>
          <w:szCs w:val="32"/>
          <w14:textFill>
            <w14:solidFill>
              <w14:schemeClr w14:val="tx1"/>
            </w14:solidFill>
          </w14:textFill>
        </w:rPr>
        <w:t>周；发作间期通常完全缓解；排除器质性精神障碍、精神活性物质所致精神障碍。</w:t>
      </w:r>
    </w:p>
    <w:p w14:paraId="1C68AFEE">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14:textFill>
            <w14:solidFill>
              <w14:schemeClr w14:val="tx1"/>
            </w14:solidFill>
          </w14:textFill>
        </w:rPr>
        <w:t>2</w:t>
      </w:r>
      <w:r>
        <w:rPr>
          <w:rFonts w:hint="eastAsia" w:ascii="仿宋_GB2312" w:hAnsi="仿宋_GB2312" w:eastAsia="仿宋_GB2312" w:cs="仿宋_GB2312"/>
          <w:color w:val="000000" w:themeColor="text1"/>
          <w:kern w:val="0"/>
          <w:sz w:val="32"/>
          <w:szCs w:val="32"/>
          <w14:textFill>
            <w14:solidFill>
              <w14:schemeClr w14:val="tx1"/>
            </w14:solidFill>
          </w14:textFill>
        </w:rPr>
        <w:t>.诊断依据</w:t>
      </w:r>
    </w:p>
    <w:p w14:paraId="7379E449">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符合</w:t>
      </w:r>
      <w:r>
        <w:rPr>
          <w:rFonts w:hint="eastAsia" w:ascii="Times New Roman" w:hAnsi="Times New Roman" w:eastAsia="仿宋_GB2312" w:cs="仿宋_GB2312"/>
          <w:color w:val="000000" w:themeColor="text1"/>
          <w:kern w:val="0"/>
          <w:sz w:val="32"/>
          <w:szCs w:val="32"/>
          <w14:textFill>
            <w14:solidFill>
              <w14:schemeClr w14:val="tx1"/>
            </w14:solidFill>
          </w14:textFill>
        </w:rPr>
        <w:t>ICD</w:t>
      </w:r>
      <w:r>
        <w:rPr>
          <w:rFonts w:hint="eastAsia" w:ascii="仿宋_GB2312" w:hAnsi="仿宋_GB2312" w:eastAsia="仿宋_GB2312" w:cs="仿宋_GB2312"/>
          <w:color w:val="000000" w:themeColor="text1"/>
          <w:kern w:val="0"/>
          <w:sz w:val="32"/>
          <w:szCs w:val="32"/>
          <w14:textFill>
            <w14:solidFill>
              <w14:schemeClr w14:val="tx1"/>
            </w14:solidFill>
          </w14:textFill>
        </w:rPr>
        <w:t>-</w:t>
      </w:r>
      <w:r>
        <w:rPr>
          <w:rFonts w:hint="eastAsia" w:ascii="Times New Roman" w:hAnsi="Times New Roman" w:eastAsia="仿宋_GB2312" w:cs="仿宋_GB2312"/>
          <w:color w:val="000000" w:themeColor="text1"/>
          <w:kern w:val="0"/>
          <w:sz w:val="32"/>
          <w:szCs w:val="32"/>
          <w14:textFill>
            <w14:solidFill>
              <w14:schemeClr w14:val="tx1"/>
            </w14:solidFill>
          </w14:textFill>
        </w:rPr>
        <w:t>10</w:t>
      </w: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 </w:t>
      </w:r>
      <w:r>
        <w:rPr>
          <w:rFonts w:hint="eastAsia" w:ascii="Times New Roman" w:hAnsi="Times New Roman" w:eastAsia="仿宋_GB2312" w:cs="仿宋_GB2312"/>
          <w:color w:val="000000" w:themeColor="text1"/>
          <w:kern w:val="0"/>
          <w:sz w:val="32"/>
          <w:szCs w:val="32"/>
          <w14:textFill>
            <w14:solidFill>
              <w14:schemeClr w14:val="tx1"/>
            </w14:solidFill>
          </w14:textFill>
        </w:rPr>
        <w:t>F31</w:t>
      </w:r>
      <w:r>
        <w:rPr>
          <w:rFonts w:hint="eastAsia" w:ascii="仿宋_GB2312" w:hAnsi="仿宋_GB2312" w:eastAsia="仿宋_GB2312" w:cs="仿宋_GB2312"/>
          <w:color w:val="000000" w:themeColor="text1"/>
          <w:kern w:val="0"/>
          <w:sz w:val="32"/>
          <w:szCs w:val="32"/>
          <w14:textFill>
            <w14:solidFill>
              <w14:schemeClr w14:val="tx1"/>
            </w14:solidFill>
          </w14:textFill>
        </w:rPr>
        <w:t>双相情感障碍各亚型诊断标准。</w:t>
      </w:r>
    </w:p>
    <w:p w14:paraId="27AA90C9">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（五）癫痫所致精神障碍</w:t>
      </w:r>
    </w:p>
    <w:p w14:paraId="0ABE8C17">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14:textFill>
            <w14:solidFill>
              <w14:schemeClr w14:val="tx1"/>
            </w14:solidFill>
          </w14:textFill>
        </w:rPr>
        <w:t>1</w:t>
      </w:r>
      <w:r>
        <w:rPr>
          <w:rFonts w:hint="eastAsia" w:ascii="仿宋_GB2312" w:hAnsi="仿宋_GB2312" w:eastAsia="仿宋_GB2312" w:cs="仿宋_GB2312"/>
          <w:color w:val="000000" w:themeColor="text1"/>
          <w:kern w:val="0"/>
          <w:sz w:val="32"/>
          <w:szCs w:val="32"/>
          <w14:textFill>
            <w14:solidFill>
              <w14:schemeClr w14:val="tx1"/>
            </w14:solidFill>
          </w14:textFill>
        </w:rPr>
        <w:t>.诊断要点</w:t>
      </w:r>
    </w:p>
    <w:p w14:paraId="2ED6B04A">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有明确的癫痫病史或癫痫发作证据；精神症状与癫痫存在时间上的关联（发作前、发作时、发作后或发作间期）；精神症状表现多样，可表现为意识障碍、感知觉障碍、思维障碍、情感障碍、人格改变等；脑电图检查可有异常发现。</w:t>
      </w:r>
    </w:p>
    <w:p w14:paraId="6397C56A">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14:textFill>
            <w14:solidFill>
              <w14:schemeClr w14:val="tx1"/>
            </w14:solidFill>
          </w14:textFill>
        </w:rPr>
        <w:t>2</w:t>
      </w:r>
      <w:r>
        <w:rPr>
          <w:rFonts w:hint="eastAsia" w:ascii="仿宋_GB2312" w:hAnsi="仿宋_GB2312" w:eastAsia="仿宋_GB2312" w:cs="仿宋_GB2312"/>
          <w:color w:val="000000" w:themeColor="text1"/>
          <w:kern w:val="0"/>
          <w:sz w:val="32"/>
          <w:szCs w:val="32"/>
          <w14:textFill>
            <w14:solidFill>
              <w14:schemeClr w14:val="tx1"/>
            </w14:solidFill>
          </w14:textFill>
        </w:rPr>
        <w:t>.诊断依据</w:t>
      </w:r>
    </w:p>
    <w:p w14:paraId="594D8AB4">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符合</w:t>
      </w:r>
      <w:r>
        <w:rPr>
          <w:rFonts w:hint="eastAsia" w:ascii="Times New Roman" w:hAnsi="Times New Roman" w:eastAsia="仿宋_GB2312" w:cs="仿宋_GB2312"/>
          <w:color w:val="000000" w:themeColor="text1"/>
          <w:kern w:val="0"/>
          <w:sz w:val="32"/>
          <w:szCs w:val="32"/>
          <w14:textFill>
            <w14:solidFill>
              <w14:schemeClr w14:val="tx1"/>
            </w14:solidFill>
          </w14:textFill>
        </w:rPr>
        <w:t>ICD</w:t>
      </w:r>
      <w:r>
        <w:rPr>
          <w:rFonts w:hint="eastAsia" w:ascii="仿宋_GB2312" w:hAnsi="仿宋_GB2312" w:eastAsia="仿宋_GB2312" w:cs="仿宋_GB2312"/>
          <w:color w:val="000000" w:themeColor="text1"/>
          <w:kern w:val="0"/>
          <w:sz w:val="32"/>
          <w:szCs w:val="32"/>
          <w14:textFill>
            <w14:solidFill>
              <w14:schemeClr w14:val="tx1"/>
            </w14:solidFill>
          </w14:textFill>
        </w:rPr>
        <w:t>-</w:t>
      </w:r>
      <w:r>
        <w:rPr>
          <w:rFonts w:hint="eastAsia" w:ascii="Times New Roman" w:hAnsi="Times New Roman" w:eastAsia="仿宋_GB2312" w:cs="仿宋_GB2312"/>
          <w:color w:val="000000" w:themeColor="text1"/>
          <w:kern w:val="0"/>
          <w:sz w:val="32"/>
          <w:szCs w:val="32"/>
          <w14:textFill>
            <w14:solidFill>
              <w14:schemeClr w14:val="tx1"/>
            </w14:solidFill>
          </w14:textFill>
        </w:rPr>
        <w:t>10</w:t>
      </w: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 </w:t>
      </w:r>
      <w:r>
        <w:rPr>
          <w:rFonts w:hint="eastAsia" w:ascii="Times New Roman" w:hAnsi="Times New Roman" w:eastAsia="仿宋_GB2312" w:cs="仿宋_GB2312"/>
          <w:color w:val="000000" w:themeColor="text1"/>
          <w:kern w:val="0"/>
          <w:sz w:val="32"/>
          <w:szCs w:val="32"/>
          <w14:textFill>
            <w14:solidFill>
              <w14:schemeClr w14:val="tx1"/>
            </w14:solidFill>
          </w14:textFill>
        </w:rPr>
        <w:t>F06</w:t>
      </w:r>
      <w:r>
        <w:rPr>
          <w:rFonts w:hint="eastAsia" w:ascii="仿宋_GB2312" w:hAnsi="仿宋_GB2312" w:eastAsia="仿宋_GB2312" w:cs="仿宋_GB2312"/>
          <w:color w:val="000000" w:themeColor="text1"/>
          <w:kern w:val="0"/>
          <w:sz w:val="32"/>
          <w:szCs w:val="32"/>
          <w14:textFill>
            <w14:solidFill>
              <w14:schemeClr w14:val="tx1"/>
            </w14:solidFill>
          </w14:textFill>
        </w:rPr>
        <w:t>癫痫所致精神障碍诊断标准。</w:t>
      </w:r>
    </w:p>
    <w:p w14:paraId="17DFECAD">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（六）精神发育迟滞伴发精神障碍</w:t>
      </w:r>
    </w:p>
    <w:p w14:paraId="66AEB3CF">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14:textFill>
            <w14:solidFill>
              <w14:schemeClr w14:val="tx1"/>
            </w14:solidFill>
          </w14:textFill>
        </w:rPr>
        <w:t>1</w:t>
      </w:r>
      <w:r>
        <w:rPr>
          <w:rFonts w:hint="eastAsia" w:ascii="仿宋_GB2312" w:hAnsi="仿宋_GB2312" w:eastAsia="仿宋_GB2312" w:cs="仿宋_GB2312"/>
          <w:color w:val="000000" w:themeColor="text1"/>
          <w:kern w:val="0"/>
          <w:sz w:val="32"/>
          <w:szCs w:val="32"/>
          <w14:textFill>
            <w14:solidFill>
              <w14:schemeClr w14:val="tx1"/>
            </w14:solidFill>
          </w14:textFill>
        </w:rPr>
        <w:t>.诊断要点</w:t>
      </w:r>
    </w:p>
    <w:p w14:paraId="1B6C09F1">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智力水平显著低于平均水平（</w:t>
      </w:r>
      <w:r>
        <w:rPr>
          <w:rFonts w:hint="eastAsia" w:ascii="Times New Roman" w:hAnsi="Times New Roman" w:eastAsia="仿宋_GB2312" w:cs="仿宋_GB2312"/>
          <w:color w:val="000000" w:themeColor="text1"/>
          <w:kern w:val="0"/>
          <w:sz w:val="32"/>
          <w:szCs w:val="32"/>
          <w14:textFill>
            <w14:solidFill>
              <w14:schemeClr w14:val="tx1"/>
            </w14:solidFill>
          </w14:textFill>
        </w:rPr>
        <w:t>IQ</w:t>
      </w:r>
      <w:r>
        <w:rPr>
          <w:rFonts w:hint="eastAsia" w:ascii="仿宋_GB2312" w:hAnsi="仿宋_GB2312" w:eastAsia="仿宋_GB2312" w:cs="仿宋_GB2312"/>
          <w:color w:val="000000" w:themeColor="text1"/>
          <w:kern w:val="0"/>
          <w:sz w:val="32"/>
          <w:szCs w:val="32"/>
          <w14:textFill>
            <w14:solidFill>
              <w14:schemeClr w14:val="tx1"/>
            </w14:solidFill>
          </w14:textFill>
        </w:rPr>
        <w:t>＜</w:t>
      </w:r>
      <w:r>
        <w:rPr>
          <w:rFonts w:hint="eastAsia" w:ascii="Times New Roman" w:hAnsi="Times New Roman" w:eastAsia="仿宋_GB2312" w:cs="仿宋_GB2312"/>
          <w:color w:val="000000" w:themeColor="text1"/>
          <w:kern w:val="0"/>
          <w:sz w:val="32"/>
          <w:szCs w:val="32"/>
          <w14:textFill>
            <w14:solidFill>
              <w14:schemeClr w14:val="tx1"/>
            </w14:solidFill>
          </w14:textFill>
        </w:rPr>
        <w:t>70</w:t>
      </w:r>
      <w:r>
        <w:rPr>
          <w:rFonts w:hint="eastAsia" w:ascii="仿宋_GB2312" w:hAnsi="仿宋_GB2312" w:eastAsia="仿宋_GB2312" w:cs="仿宋_GB2312"/>
          <w:color w:val="000000" w:themeColor="text1"/>
          <w:kern w:val="0"/>
          <w:sz w:val="32"/>
          <w:szCs w:val="32"/>
          <w14:textFill>
            <w14:solidFill>
              <w14:schemeClr w14:val="tx1"/>
            </w14:solidFill>
          </w14:textFill>
        </w:rPr>
        <w:t>）；社会适应能力缺陷；上述缺陷起病于</w:t>
      </w:r>
      <w:r>
        <w:rPr>
          <w:rFonts w:hint="eastAsia" w:ascii="Times New Roman" w:hAnsi="Times New Roman" w:eastAsia="仿宋_GB2312" w:cs="仿宋_GB2312"/>
          <w:color w:val="000000" w:themeColor="text1"/>
          <w:kern w:val="0"/>
          <w:sz w:val="32"/>
          <w:szCs w:val="32"/>
          <w14:textFill>
            <w14:solidFill>
              <w14:schemeClr w14:val="tx1"/>
            </w14:solidFill>
          </w14:textFill>
        </w:rPr>
        <w:t>18</w:t>
      </w:r>
      <w:r>
        <w:rPr>
          <w:rFonts w:hint="eastAsia" w:ascii="仿宋_GB2312" w:hAnsi="仿宋_GB2312" w:eastAsia="仿宋_GB2312" w:cs="仿宋_GB2312"/>
          <w:color w:val="000000" w:themeColor="text1"/>
          <w:kern w:val="0"/>
          <w:sz w:val="32"/>
          <w:szCs w:val="32"/>
          <w14:textFill>
            <w14:solidFill>
              <w14:schemeClr w14:val="tx1"/>
            </w14:solidFill>
          </w14:textFill>
        </w:rPr>
        <w:t>岁以前；在此基础上出现精神症状，如幻觉、妄想、行为紊乱、情绪障碍等。</w:t>
      </w:r>
    </w:p>
    <w:p w14:paraId="124EAE1F">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14:textFill>
            <w14:solidFill>
              <w14:schemeClr w14:val="tx1"/>
            </w14:solidFill>
          </w14:textFill>
        </w:rPr>
        <w:t>2</w:t>
      </w:r>
      <w:r>
        <w:rPr>
          <w:rFonts w:hint="eastAsia" w:ascii="仿宋_GB2312" w:hAnsi="仿宋_GB2312" w:eastAsia="仿宋_GB2312" w:cs="仿宋_GB2312"/>
          <w:color w:val="000000" w:themeColor="text1"/>
          <w:kern w:val="0"/>
          <w:sz w:val="32"/>
          <w:szCs w:val="32"/>
          <w14:textFill>
            <w14:solidFill>
              <w14:schemeClr w14:val="tx1"/>
            </w14:solidFill>
          </w14:textFill>
        </w:rPr>
        <w:t>.诊断依据</w:t>
      </w:r>
    </w:p>
    <w:p w14:paraId="342134EB">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符合</w:t>
      </w:r>
      <w:r>
        <w:rPr>
          <w:rFonts w:hint="eastAsia" w:ascii="Times New Roman" w:hAnsi="Times New Roman" w:eastAsia="仿宋_GB2312" w:cs="仿宋_GB2312"/>
          <w:color w:val="000000" w:themeColor="text1"/>
          <w:kern w:val="0"/>
          <w:sz w:val="32"/>
          <w:szCs w:val="32"/>
          <w14:textFill>
            <w14:solidFill>
              <w14:schemeClr w14:val="tx1"/>
            </w14:solidFill>
          </w14:textFill>
        </w:rPr>
        <w:t>ICD</w:t>
      </w:r>
      <w:r>
        <w:rPr>
          <w:rFonts w:hint="eastAsia" w:ascii="仿宋_GB2312" w:hAnsi="仿宋_GB2312" w:eastAsia="仿宋_GB2312" w:cs="仿宋_GB2312"/>
          <w:color w:val="000000" w:themeColor="text1"/>
          <w:kern w:val="0"/>
          <w:sz w:val="32"/>
          <w:szCs w:val="32"/>
          <w14:textFill>
            <w14:solidFill>
              <w14:schemeClr w14:val="tx1"/>
            </w14:solidFill>
          </w14:textFill>
        </w:rPr>
        <w:t>-</w:t>
      </w:r>
      <w:r>
        <w:rPr>
          <w:rFonts w:hint="eastAsia" w:ascii="Times New Roman" w:hAnsi="Times New Roman" w:eastAsia="仿宋_GB2312" w:cs="仿宋_GB2312"/>
          <w:color w:val="000000" w:themeColor="text1"/>
          <w:kern w:val="0"/>
          <w:sz w:val="32"/>
          <w:szCs w:val="32"/>
          <w14:textFill>
            <w14:solidFill>
              <w14:schemeClr w14:val="tx1"/>
            </w14:solidFill>
          </w14:textFill>
        </w:rPr>
        <w:t>10</w:t>
      </w: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 </w:t>
      </w:r>
      <w:r>
        <w:rPr>
          <w:rFonts w:hint="eastAsia" w:ascii="Times New Roman" w:hAnsi="Times New Roman" w:eastAsia="仿宋_GB2312" w:cs="仿宋_GB2312"/>
          <w:color w:val="000000" w:themeColor="text1"/>
          <w:kern w:val="0"/>
          <w:sz w:val="32"/>
          <w:szCs w:val="32"/>
          <w14:textFill>
            <w14:solidFill>
              <w14:schemeClr w14:val="tx1"/>
            </w14:solidFill>
          </w14:textFill>
        </w:rPr>
        <w:t>F70</w:t>
      </w:r>
      <w:r>
        <w:rPr>
          <w:rFonts w:hint="eastAsia" w:ascii="仿宋_GB2312" w:hAnsi="仿宋_GB2312" w:eastAsia="仿宋_GB2312" w:cs="仿宋_GB2312"/>
          <w:color w:val="000000" w:themeColor="text1"/>
          <w:kern w:val="0"/>
          <w:sz w:val="32"/>
          <w:szCs w:val="32"/>
          <w14:textFill>
            <w14:solidFill>
              <w14:schemeClr w14:val="tx1"/>
            </w14:solidFill>
          </w14:textFill>
        </w:rPr>
        <w:t>-</w:t>
      </w:r>
      <w:r>
        <w:rPr>
          <w:rFonts w:hint="eastAsia" w:ascii="Times New Roman" w:hAnsi="Times New Roman" w:eastAsia="仿宋_GB2312" w:cs="仿宋_GB2312"/>
          <w:color w:val="000000" w:themeColor="text1"/>
          <w:kern w:val="0"/>
          <w:sz w:val="32"/>
          <w:szCs w:val="32"/>
          <w14:textFill>
            <w14:solidFill>
              <w14:schemeClr w14:val="tx1"/>
            </w14:solidFill>
          </w14:textFill>
        </w:rPr>
        <w:t>F79</w:t>
      </w:r>
      <w:r>
        <w:rPr>
          <w:rFonts w:hint="eastAsia" w:ascii="仿宋_GB2312" w:hAnsi="仿宋_GB2312" w:eastAsia="仿宋_GB2312" w:cs="仿宋_GB2312"/>
          <w:color w:val="000000" w:themeColor="text1"/>
          <w:kern w:val="0"/>
          <w:sz w:val="32"/>
          <w:szCs w:val="32"/>
          <w14:textFill>
            <w14:solidFill>
              <w14:schemeClr w14:val="tx1"/>
            </w14:solidFill>
          </w14:textFill>
        </w:rPr>
        <w:t>精神发育迟滞伴发精神障碍诊断标准</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p>
    <w:p w14:paraId="78315B05">
      <w:pPr>
        <w:rPr>
          <w:rFonts w:hint="eastAsia" w:ascii="Times New Roman" w:hAnsi="Times New Roman" w:eastAsia="仿宋_GB2312" w:cs="Times New Roman"/>
          <w:kern w:val="0"/>
          <w:sz w:val="32"/>
          <w:szCs w:val="32"/>
          <w:lang w:eastAsia="zh-CN"/>
        </w:rPr>
      </w:pPr>
    </w:p>
    <w:p w14:paraId="30330AE1">
      <w:pPr>
        <w:rPr>
          <w:rFonts w:hint="eastAsia" w:ascii="Times New Roman" w:hAnsi="Times New Roman" w:eastAsia="仿宋_GB2312" w:cs="Times New Roman"/>
          <w:kern w:val="0"/>
          <w:sz w:val="32"/>
          <w:szCs w:val="32"/>
          <w:lang w:eastAsia="zh-CN"/>
        </w:rPr>
      </w:pPr>
      <w:r>
        <w:rPr>
          <w:rFonts w:hint="eastAsia" w:ascii="Times New Roman" w:hAnsi="Times New Roman" w:eastAsia="仿宋_GB2312" w:cs="Times New Roman"/>
          <w:kern w:val="0"/>
          <w:sz w:val="32"/>
          <w:szCs w:val="32"/>
          <w:lang w:eastAsia="zh-CN"/>
        </w:rPr>
        <w:br w:type="page"/>
      </w:r>
    </w:p>
    <w:p w14:paraId="2C7A1D51">
      <w:pPr>
        <w:keepNext w:val="0"/>
        <w:keepLines w:val="0"/>
        <w:pageBreakBefore w:val="0"/>
        <w:widowControl w:val="0"/>
        <w:numPr>
          <w:ilvl w:val="0"/>
          <w:numId w:val="0"/>
        </w:numPr>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lang w:val="en-US" w:eastAsia="zh-CN" w:bidi="ar-SA"/>
          <w14:textFill>
            <w14:solidFill>
              <w14:schemeClr w14:val="tx1"/>
            </w14:solidFill>
          </w14:textFill>
        </w:rPr>
      </w:pPr>
      <w:bookmarkStart w:id="8" w:name="heading_9"/>
    </w:p>
    <w:p w14:paraId="5C62D8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小标宋_GBK" w:hAnsi="方正小标宋_GBK" w:eastAsia="方正小标宋_GBK" w:cs="方正小标宋_GBK"/>
          <w:color w:val="000000" w:themeColor="text1"/>
          <w:spacing w:val="11"/>
          <w:sz w:val="44"/>
          <w:szCs w:val="44"/>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pacing w:val="11"/>
          <w:sz w:val="44"/>
          <w:szCs w:val="44"/>
          <w:lang w:val="en-US" w:eastAsia="zh-CN"/>
          <w14:textFill>
            <w14:solidFill>
              <w14:schemeClr w14:val="tx1"/>
            </w14:solidFill>
          </w14:textFill>
        </w:rPr>
        <w:t>第四章  治疗规范</w:t>
      </w:r>
      <w:bookmarkEnd w:id="8"/>
    </w:p>
    <w:p w14:paraId="13DEDB26">
      <w:pPr>
        <w:keepNext w:val="0"/>
        <w:keepLines w:val="0"/>
        <w:pageBreakBefore w:val="0"/>
        <w:widowControl w:val="0"/>
        <w:kinsoku/>
        <w:wordWrap/>
        <w:overflowPunct/>
        <w:topLinePunct w:val="0"/>
        <w:autoSpaceDE/>
        <w:autoSpaceDN/>
        <w:bidi w:val="0"/>
        <w:adjustRightInd/>
        <w:snapToGrid/>
        <w:spacing w:line="54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p>
    <w:p w14:paraId="3B492D67">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kern w:val="0"/>
          <w:sz w:val="32"/>
          <w:szCs w:val="32"/>
          <w14:textFill>
            <w14:solidFill>
              <w14:schemeClr w14:val="tx1"/>
            </w14:solidFill>
          </w14:textFill>
        </w:rPr>
      </w:pPr>
      <w:bookmarkStart w:id="9" w:name="heading_10"/>
      <w:r>
        <w:rPr>
          <w:rFonts w:hint="eastAsia" w:ascii="黑体" w:hAnsi="黑体" w:eastAsia="黑体" w:cs="黑体"/>
          <w:color w:val="000000" w:themeColor="text1"/>
          <w:kern w:val="0"/>
          <w:sz w:val="32"/>
          <w:szCs w:val="32"/>
          <w14:textFill>
            <w14:solidFill>
              <w14:schemeClr w14:val="tx1"/>
            </w14:solidFill>
          </w14:textFill>
        </w:rPr>
        <w:t>一、治疗计划制定</w:t>
      </w:r>
      <w:bookmarkEnd w:id="9"/>
    </w:p>
    <w:p w14:paraId="75E61462">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应根据</w:t>
      </w:r>
      <w:r>
        <w:rPr>
          <w:rFonts w:hint="eastAsia" w:ascii="仿宋_GB2312" w:hAnsi="仿宋_GB2312" w:eastAsia="仿宋_GB2312" w:cs="仿宋_GB2312"/>
          <w:color w:val="000000" w:themeColor="text1"/>
          <w:spacing w:val="0"/>
          <w:kern w:val="0"/>
          <w:sz w:val="32"/>
          <w:szCs w:val="32"/>
          <w:lang w:val="en-US" w:eastAsia="zh-CN"/>
          <w14:textFill>
            <w14:solidFill>
              <w14:schemeClr w14:val="tx1"/>
            </w14:solidFill>
          </w14:textFill>
        </w:rPr>
        <w:t>病情</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诊断、评估结果及患者个人情况（如年龄、躯体状况、治疗意愿、家庭支持等），与患者及监护人共同商定个体化的综合治疗计划，明确治疗目标、方法、预期疗程及注意事项。</w:t>
      </w:r>
    </w:p>
    <w:p w14:paraId="2B48155A">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kern w:val="0"/>
          <w:sz w:val="32"/>
          <w:szCs w:val="32"/>
          <w14:textFill>
            <w14:solidFill>
              <w14:schemeClr w14:val="tx1"/>
            </w14:solidFill>
          </w14:textFill>
        </w:rPr>
      </w:pPr>
      <w:bookmarkStart w:id="10" w:name="heading_11"/>
      <w:r>
        <w:rPr>
          <w:rFonts w:hint="eastAsia" w:ascii="黑体" w:hAnsi="黑体" w:eastAsia="黑体" w:cs="黑体"/>
          <w:color w:val="000000" w:themeColor="text1"/>
          <w:kern w:val="0"/>
          <w:sz w:val="32"/>
          <w:szCs w:val="32"/>
          <w14:textFill>
            <w14:solidFill>
              <w14:schemeClr w14:val="tx1"/>
            </w14:solidFill>
          </w14:textFill>
        </w:rPr>
        <w:t>二、药物治疗</w:t>
      </w:r>
      <w:bookmarkEnd w:id="10"/>
    </w:p>
    <w:p w14:paraId="54F25162">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严格遵循药品说明书、诊疗指南和循证医学证据使用药物。遵循循证医学原则，坚持个体化给药，</w:t>
      </w:r>
      <w:r>
        <w:rPr>
          <w:rFonts w:hint="default" w:ascii="仿宋_GB2312" w:hAnsi="仿宋_GB2312" w:eastAsia="仿宋_GB2312" w:cs="仿宋_GB2312"/>
          <w:color w:val="000000" w:themeColor="text1"/>
          <w:spacing w:val="0"/>
          <w:kern w:val="0"/>
          <w:sz w:val="32"/>
          <w:szCs w:val="32"/>
          <w:lang w:val="en-US"/>
          <w14:textFill>
            <w14:solidFill>
              <w14:schemeClr w14:val="tx1"/>
            </w14:solidFill>
          </w14:textFill>
        </w:rPr>
        <w:t>宜</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从单一用药开始，采取低剂量起始、逐步调整剂量的方式，在尽快控制精神症状的同时，密切监测疗效与药物不良反应。向患者及监护人充分说明药物治疗的必要性、预期效果、常见副作用及应对方法。特别注意老年、儿童青少年、孕产妇等特殊人群的用药安全。建立药物不良反应监测与处理流程。</w:t>
      </w:r>
    </w:p>
    <w:p w14:paraId="7E226A6F">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kern w:val="0"/>
          <w:sz w:val="32"/>
          <w:szCs w:val="32"/>
          <w14:textFill>
            <w14:solidFill>
              <w14:schemeClr w14:val="tx1"/>
            </w14:solidFill>
          </w14:textFill>
        </w:rPr>
      </w:pPr>
      <w:bookmarkStart w:id="11" w:name="heading_13"/>
      <w:r>
        <w:rPr>
          <w:rFonts w:hint="eastAsia" w:ascii="黑体" w:hAnsi="黑体" w:eastAsia="黑体" w:cs="黑体"/>
          <w:color w:val="000000" w:themeColor="text1"/>
          <w:kern w:val="0"/>
          <w:sz w:val="32"/>
          <w:szCs w:val="32"/>
          <w14:textFill>
            <w14:solidFill>
              <w14:schemeClr w14:val="tx1"/>
            </w14:solidFill>
          </w14:textFill>
        </w:rPr>
        <w:t>三、心理治疗与精神康复治疗</w:t>
      </w:r>
    </w:p>
    <w:p w14:paraId="64070349">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根据患者病情和需求，提供适宜的心理治疗及精神康复治疗。</w:t>
      </w:r>
    </w:p>
    <w:p w14:paraId="45E347FD">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（一）心理治疗资质要求</w:t>
      </w:r>
    </w:p>
    <w:p w14:paraId="7F59BDE7">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从事心理治疗的人员应具备以下资质之一：</w:t>
      </w:r>
    </w:p>
    <w:p w14:paraId="2D689CB6">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1</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.精神科执业（助理）医师</w:t>
      </w:r>
      <w:r>
        <w:rPr>
          <w:rFonts w:hint="eastAsia" w:ascii="仿宋_GB2312" w:hAnsi="仿宋_GB2312" w:eastAsia="仿宋_GB2312" w:cs="仿宋_GB2312"/>
          <w:color w:val="000000" w:themeColor="text1"/>
          <w:spacing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sz w:val="32"/>
          <w:szCs w:val="32"/>
          <w:lang w:val="en-US" w:eastAsia="zh-CN"/>
          <w14:textFill>
            <w14:solidFill>
              <w14:schemeClr w14:val="tx1"/>
            </w14:solidFill>
          </w14:textFill>
        </w:rPr>
        <w:t>且完成规范的心理治疗培训</w:t>
      </w:r>
      <w:r>
        <w:rPr>
          <w:rFonts w:hint="eastAsia" w:ascii="仿宋_GB2312" w:hAnsi="仿宋_GB2312" w:eastAsia="仿宋_GB2312" w:cs="仿宋_GB2312"/>
          <w:color w:val="000000" w:themeColor="text1"/>
          <w:spacing w:val="0"/>
          <w:sz w:val="32"/>
          <w:szCs w:val="32"/>
          <w14:textFill>
            <w14:solidFill>
              <w14:schemeClr w14:val="tx1"/>
            </w14:solidFill>
          </w14:textFill>
        </w:rPr>
        <w:t>；</w:t>
      </w:r>
    </w:p>
    <w:p w14:paraId="10E6BD80">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2</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.通过卫生专业技术资格考试（心理治疗专业），取得相应级别专业技术资格证书的卫生技术人员。</w:t>
      </w:r>
    </w:p>
    <w:p w14:paraId="3E652028">
      <w:pPr>
        <w:keepNext w:val="0"/>
        <w:keepLines w:val="0"/>
        <w:pageBreakBefore w:val="0"/>
        <w:widowControl w:val="0"/>
        <w:numPr>
          <w:ilvl w:val="255"/>
          <w:numId w:val="0"/>
        </w:numPr>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仅具备心理治疗资质的人员不得从事精神障碍的诊断，不得为精神障碍患者开具处方或提供药物治疗。</w:t>
      </w:r>
    </w:p>
    <w:p w14:paraId="5CDC449C">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（二）精神康复治疗资质要求</w:t>
      </w:r>
    </w:p>
    <w:p w14:paraId="262C7BD2">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精神康复治疗应当由具备相应资质的专业技术人员实施，主要包括精神科执业医师、精神科执业护士、康复医师、康复治疗师（含康复技师）、心理治疗技师等精神卫生专业人员。</w:t>
      </w:r>
    </w:p>
    <w:p w14:paraId="758A325E">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四、物理治疗</w:t>
      </w:r>
      <w:bookmarkEnd w:id="11"/>
    </w:p>
    <w:p w14:paraId="1AE5DD93">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改良电抽搐治疗及磁休克治疗应在治疗前详细评估是否符合其治疗适应症，严格把控禁忌症，在病情需要的精神障碍患者中使用。开展该治疗的医疗机构应当组建多学科治疗团队，明确精神科医师、麻醉科医师、物理治疗师（或医技人员）及护士的岗位职责。其中：精神科医师应当持有有效的《医师执业证书》，执业范围为精神卫生专业，具备中级及以上专业技术职称者优先承担物理治疗方案的制定与审核；应当由具备执业医师资格并接受过上述治疗麻醉专门培训的麻醉科医师负责麻醉管理，有条件的机构建议配备麻醉科护士。</w:t>
      </w:r>
    </w:p>
    <w:p w14:paraId="31BB79F6">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脑反射治疗、脑电生物反馈治疗、经颅磁刺激治疗、经颅交流电刺激治疗等其他物理治疗根据患者病情需要使用，应在详细评估适应证和禁忌证后实施。开展上述物理治疗的医技人员，应当具备康复医学治疗技术、临床医学技术或护理学等相应执业（或职业资格）证书。执行规范的操作流程，确保治疗安全，并做好治疗前后评估与记录。</w:t>
      </w:r>
    </w:p>
    <w:p w14:paraId="7A679B6B">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五、</w:t>
      </w:r>
      <w:r>
        <w:rPr>
          <w:rFonts w:hint="eastAsia" w:ascii="黑体" w:hAnsi="黑体" w:eastAsia="黑体" w:cs="黑体"/>
          <w:color w:val="000000" w:themeColor="text1"/>
          <w:kern w:val="0"/>
          <w:sz w:val="32"/>
          <w:szCs w:val="32"/>
          <w14:textFill>
            <w14:solidFill>
              <w14:schemeClr w14:val="tx1"/>
            </w14:solidFill>
          </w14:textFill>
        </w:rPr>
        <w:t>中医治疗</w:t>
      </w:r>
    </w:p>
    <w:p w14:paraId="46727D15">
      <w:pPr>
        <w:keepNext w:val="0"/>
        <w:keepLines w:val="0"/>
        <w:pageBreakBefore w:val="0"/>
        <w:widowControl w:val="0"/>
        <w:numPr>
          <w:ilvl w:val="255"/>
          <w:numId w:val="0"/>
        </w:numPr>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坚持中西医并重、优势互补的诊疗方针，将中医神志病诊疗及中西医结合治疗纳入精神疾病临床诊疗规范体系。在疾病急性期以西药快速控制症状为主</w:t>
      </w:r>
      <w:r>
        <w:rPr>
          <w:rFonts w:hint="eastAsia" w:ascii="仿宋_GB2312" w:hAnsi="仿宋_GB2312" w:eastAsia="仿宋_GB2312" w:cs="仿宋_GB2312"/>
          <w:color w:val="000000" w:themeColor="text1"/>
          <w:spacing w:val="0"/>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kern w:val="0"/>
          <w:sz w:val="32"/>
          <w:szCs w:val="32"/>
          <w:lang w:val="en-US" w:eastAsia="zh-CN"/>
          <w14:textFill>
            <w14:solidFill>
              <w14:schemeClr w14:val="tx1"/>
            </w14:solidFill>
          </w14:textFill>
        </w:rPr>
        <w:t>同时</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在</w:t>
      </w:r>
      <w:r>
        <w:rPr>
          <w:rFonts w:hint="eastAsia" w:ascii="仿宋_GB2312" w:hAnsi="仿宋_GB2312" w:eastAsia="仿宋_GB2312" w:cs="仿宋_GB2312"/>
          <w:color w:val="000000" w:themeColor="text1"/>
          <w:spacing w:val="0"/>
          <w:kern w:val="0"/>
          <w:sz w:val="32"/>
          <w:szCs w:val="32"/>
          <w:lang w:val="en-US" w:eastAsia="zh-CN"/>
          <w14:textFill>
            <w14:solidFill>
              <w14:schemeClr w14:val="tx1"/>
            </w14:solidFill>
          </w14:textFill>
        </w:rPr>
        <w:t>急性期、</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巩固期及康复期</w:t>
      </w:r>
      <w:r>
        <w:rPr>
          <w:rFonts w:hint="eastAsia" w:ascii="仿宋_GB2312" w:hAnsi="仿宋_GB2312" w:eastAsia="仿宋_GB2312" w:cs="仿宋_GB2312"/>
          <w:color w:val="000000" w:themeColor="text1"/>
          <w:spacing w:val="0"/>
          <w:kern w:val="0"/>
          <w:sz w:val="32"/>
          <w:szCs w:val="32"/>
          <w:lang w:val="en-US" w:eastAsia="zh-CN"/>
          <w14:textFill>
            <w14:solidFill>
              <w14:schemeClr w14:val="tx1"/>
            </w14:solidFill>
          </w14:textFill>
        </w:rPr>
        <w:t>可以根据病情采用</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针灸、推拿、</w:t>
      </w:r>
      <w:r>
        <w:rPr>
          <w:rFonts w:hint="eastAsia" w:ascii="仿宋_GB2312" w:hAnsi="仿宋_GB2312" w:eastAsia="仿宋_GB2312" w:cs="仿宋_GB2312"/>
          <w:color w:val="000000" w:themeColor="text1"/>
          <w:spacing w:val="0"/>
          <w:kern w:val="0"/>
          <w:sz w:val="32"/>
          <w:szCs w:val="32"/>
          <w:lang w:val="en-US" w:eastAsia="zh-CN"/>
          <w14:textFill>
            <w14:solidFill>
              <w14:schemeClr w14:val="tx1"/>
            </w14:solidFill>
          </w14:textFill>
        </w:rPr>
        <w:t>敷贴、</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情志调理、中药干预等中医适宜技术</w:t>
      </w:r>
      <w:r>
        <w:rPr>
          <w:rFonts w:hint="eastAsia" w:ascii="仿宋_GB2312" w:hAnsi="仿宋_GB2312" w:eastAsia="仿宋_GB2312" w:cs="仿宋_GB2312"/>
          <w:color w:val="000000" w:themeColor="text1"/>
          <w:spacing w:val="0"/>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调整脏腑功能、平衡阴阳气血、改善躯体共病症状</w:t>
      </w:r>
      <w:r>
        <w:rPr>
          <w:rFonts w:hint="eastAsia" w:ascii="仿宋_GB2312" w:hAnsi="仿宋_GB2312" w:eastAsia="仿宋_GB2312" w:cs="仿宋_GB2312"/>
          <w:color w:val="000000" w:themeColor="text1"/>
          <w:spacing w:val="0"/>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促进功能恢复</w:t>
      </w:r>
      <w:r>
        <w:rPr>
          <w:rFonts w:hint="eastAsia" w:ascii="仿宋_GB2312" w:hAnsi="仿宋_GB2312" w:eastAsia="仿宋_GB2312" w:cs="仿宋_GB2312"/>
          <w:color w:val="000000" w:themeColor="text1"/>
          <w:spacing w:val="0"/>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应由具备资质的执业医师在中医理论指导下依据辨证分型制定个体化方案</w:t>
      </w:r>
      <w:r>
        <w:rPr>
          <w:rFonts w:hint="eastAsia" w:ascii="仿宋_GB2312" w:hAnsi="仿宋_GB2312" w:eastAsia="仿宋_GB2312" w:cs="仿宋_GB2312"/>
          <w:color w:val="000000" w:themeColor="text1"/>
          <w:spacing w:val="0"/>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规范操作，遵循相关技术操作规范及诊疗禁忌，构建覆盖急性期、巩固期、康复期的全病程中西医协同诊疗模式，更好地满足精神疾病患者多元化、个体化的临床需求。</w:t>
      </w:r>
    </w:p>
    <w:p w14:paraId="38A24288">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六、严重精神障碍治疗规范</w:t>
      </w:r>
    </w:p>
    <w:p w14:paraId="175B0F1F">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（一）精神分裂症</w:t>
      </w:r>
    </w:p>
    <w:p w14:paraId="39CFC21B">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1</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.治疗原则</w:t>
      </w:r>
    </w:p>
    <w:p w14:paraId="47D66D21">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lang w:val="en-US" w:eastAsia="zh-CN"/>
          <w14:textFill>
            <w14:solidFill>
              <w14:schemeClr w14:val="tx1"/>
            </w14:solidFill>
          </w14:textFill>
        </w:rPr>
        <w:t>确诊</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精神分裂症</w:t>
      </w:r>
      <w:r>
        <w:rPr>
          <w:rFonts w:hint="eastAsia" w:ascii="仿宋_GB2312" w:hAnsi="仿宋_GB2312" w:eastAsia="仿宋_GB2312" w:cs="仿宋_GB2312"/>
          <w:color w:val="000000" w:themeColor="text1"/>
          <w:spacing w:val="0"/>
          <w:kern w:val="0"/>
          <w:sz w:val="32"/>
          <w:szCs w:val="32"/>
          <w:lang w:val="en-US" w:eastAsia="zh-CN"/>
          <w14:textFill>
            <w14:solidFill>
              <w14:schemeClr w14:val="tx1"/>
            </w14:solidFill>
          </w14:textFill>
        </w:rPr>
        <w:t>后</w:t>
      </w:r>
      <w:r>
        <w:rPr>
          <w:rFonts w:hint="eastAsia" w:ascii="仿宋_GB2312" w:hAnsi="仿宋_GB2312" w:eastAsia="仿宋_GB2312" w:cs="仿宋_GB2312"/>
          <w:color w:val="000000" w:themeColor="text1"/>
          <w:spacing w:val="0"/>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kern w:val="0"/>
          <w:sz w:val="32"/>
          <w:szCs w:val="32"/>
          <w:lang w:val="en-US" w:eastAsia="zh-CN"/>
          <w14:textFill>
            <w14:solidFill>
              <w14:schemeClr w14:val="tx1"/>
            </w14:solidFill>
          </w14:textFill>
        </w:rPr>
        <w:t>应</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尽早开始抗精神病药物治疗，根据评估，权衡疗效和安全性，选择适宜于患者个体化的抗精神病药物，并尽可能单一药物治疗。</w:t>
      </w:r>
    </w:p>
    <w:p w14:paraId="7E188331">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急性发作病例，包括复发和病情恶化的患者，根据既往用药情况继续使用原有效药物，剂量低于有效治疗剂量者，可增加至治疗剂量继续观察；如果已达治疗剂量仍无效者，酌情加量、换用或联用另一种化学结构的非典型抗精神病药物或典型抗精神病药物。疗效不佳者也可以考虑使用氯氮平，但应</w:t>
      </w:r>
      <w:r>
        <w:rPr>
          <w:rFonts w:hint="eastAsia" w:ascii="仿宋_GB2312" w:hAnsi="仿宋_GB2312" w:eastAsia="仿宋_GB2312" w:cs="仿宋_GB2312"/>
          <w:color w:val="000000" w:themeColor="text1"/>
          <w:spacing w:val="0"/>
          <w:kern w:val="0"/>
          <w:sz w:val="32"/>
          <w:szCs w:val="32"/>
          <w:lang w:val="en-US" w:eastAsia="zh-CN"/>
          <w14:textFill>
            <w14:solidFill>
              <w14:schemeClr w14:val="tx1"/>
            </w14:solidFill>
          </w14:textFill>
        </w:rPr>
        <w:t>当</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定期监测白细胞与中性粒细胞数量、脑电图等。同时，联用改良电抽搐治疗、磁休克治疗、经颅磁刺激治疗等物理治疗有助于改善患者的精神症状。</w:t>
      </w:r>
    </w:p>
    <w:p w14:paraId="7D5B7E08">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定期评价疗效，指导治疗方案。定期评定药物不良反应，并对症处理。</w:t>
      </w:r>
    </w:p>
    <w:p w14:paraId="63898D4B">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2</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.急性治疗期（</w:t>
      </w: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8</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w:t>
      </w: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12</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周）</w:t>
      </w:r>
    </w:p>
    <w:p w14:paraId="0CCC6592">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首选第二代抗精神病药物；兴奋冲动可短期肌注奥氮平、齐拉西酮、氟哌啶醇或联合</w:t>
      </w:r>
      <w:r>
        <w:rPr>
          <w:rFonts w:hint="eastAsia" w:ascii="仿宋_GB2312" w:hAnsi="仿宋_GB2312" w:eastAsia="仿宋_GB2312" w:cs="仿宋_GB2312"/>
          <w:color w:val="000000" w:themeColor="text1"/>
          <w:spacing w:val="0"/>
          <w:kern w:val="0"/>
          <w:sz w:val="32"/>
          <w:szCs w:val="32"/>
          <w:lang w:eastAsia="zh-CN"/>
          <w14:textFill>
            <w14:solidFill>
              <w14:schemeClr w14:val="tx1"/>
            </w14:solidFill>
          </w14:textFill>
        </w:rPr>
        <w:t>苯二氮䓬类</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等；药物难治或有严重自杀、冲动风险者可考虑</w:t>
      </w: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MECT</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或者磁休克治疗；按需开展血常规、肝肾功能、血糖血脂、凝血功能、性激素、甲状腺功能、血药浓度监测等实验室检查，及心电图、脑电图、头颅影像学检查、心脏彩超、神经认知、多导睡眠监测等辅助检查。</w:t>
      </w:r>
    </w:p>
    <w:p w14:paraId="20E87DAC">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3</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.巩固治疗期（至少</w:t>
      </w: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6</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个月）</w:t>
      </w:r>
    </w:p>
    <w:p w14:paraId="0C2027FC">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药物种类与剂量基本稳定，继续急性期有效剂量；加强心理治疗和社会功能训练。监测血常规、肝肾功能、血糖血脂、药物浓度、心电图等指标，评定药物不良反应。</w:t>
      </w:r>
    </w:p>
    <w:p w14:paraId="17AA3BD7">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4</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.维持治疗期</w:t>
      </w:r>
    </w:p>
    <w:p w14:paraId="5C75B77D">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首发患者维持治疗至少</w:t>
      </w: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1</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w:t>
      </w: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3</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年；</w:t>
      </w: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1</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w:t>
      </w: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2</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次复发患者维持治疗至少</w:t>
      </w: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2</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w:t>
      </w: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5</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年；严重或反复发作患者需长期维持治疗。监测血常规、肝肾功能、血糖血脂、药物浓度、心电图等指标，评定药物不良反应。</w:t>
      </w:r>
    </w:p>
    <w:p w14:paraId="0C79D85C">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（二）双相情感障碍</w:t>
      </w:r>
    </w:p>
    <w:p w14:paraId="09D3B4FE">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1</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.治疗原则</w:t>
      </w:r>
    </w:p>
    <w:p w14:paraId="4EF3AF93">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以心境稳定剂为基础性治疗；根据发作类型联合抗精神病药物、抗抑郁药物或</w:t>
      </w:r>
      <w:r>
        <w:rPr>
          <w:rFonts w:hint="eastAsia" w:ascii="仿宋_GB2312" w:hAnsi="仿宋_GB2312" w:eastAsia="仿宋_GB2312" w:cs="仿宋_GB2312"/>
          <w:color w:val="000000" w:themeColor="text1"/>
          <w:spacing w:val="0"/>
          <w:kern w:val="0"/>
          <w:sz w:val="32"/>
          <w:szCs w:val="32"/>
          <w:lang w:eastAsia="zh-CN"/>
          <w14:textFill>
            <w14:solidFill>
              <w14:schemeClr w14:val="tx1"/>
            </w14:solidFill>
          </w14:textFill>
        </w:rPr>
        <w:t>苯二氮䓬类</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药物；全病程治疗，预防复发。按需开展血常规、肝肾功能、血糖血脂、凝血功能、性激素、甲状腺功能、血药浓度监测等实验室检查，及心电图、脑电图、头颅影像学检查、心脏彩超、多导睡眠监测等辅助检查。</w:t>
      </w:r>
    </w:p>
    <w:p w14:paraId="6CA84D95">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2</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.急性治疗期（一般</w:t>
      </w: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6</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w:t>
      </w: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8</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周，病情严重者可能时间更长）</w:t>
      </w:r>
    </w:p>
    <w:p w14:paraId="463F0D69">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①躁狂发作：心境稳定剂、抗精神病药单用或联合治疗为主；</w:t>
      </w:r>
    </w:p>
    <w:p w14:paraId="51F1A0EC">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②抑郁发作：以心境稳定剂为主，谨慎使用抗抑郁药；</w:t>
      </w:r>
    </w:p>
    <w:p w14:paraId="0C5390D3">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快速控制兴奋躁动可短期使用</w:t>
      </w:r>
      <w:r>
        <w:rPr>
          <w:rFonts w:hint="eastAsia" w:ascii="仿宋_GB2312" w:hAnsi="仿宋_GB2312" w:eastAsia="仿宋_GB2312" w:cs="仿宋_GB2312"/>
          <w:color w:val="000000" w:themeColor="text1"/>
          <w:spacing w:val="0"/>
          <w:kern w:val="0"/>
          <w:sz w:val="32"/>
          <w:szCs w:val="32"/>
          <w:lang w:eastAsia="zh-CN"/>
          <w14:textFill>
            <w14:solidFill>
              <w14:schemeClr w14:val="tx1"/>
            </w14:solidFill>
          </w14:textFill>
        </w:rPr>
        <w:t>苯二氮䓬类</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、具有镇静作用的抗精神病药物。</w:t>
      </w:r>
    </w:p>
    <w:p w14:paraId="647773F5">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3</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.巩固治疗期（一般</w:t>
      </w: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3</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个月）</w:t>
      </w:r>
    </w:p>
    <w:p w14:paraId="2558D6C2">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继续急性期有效药物剂量；加强心理社会干预；监测血常规、肝肾功能、血糖血脂、药物浓度、心电图等指标，监测药物不良反应。</w:t>
      </w:r>
    </w:p>
    <w:p w14:paraId="2E5E9494">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4</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.维持治疗期</w:t>
      </w:r>
    </w:p>
    <w:p w14:paraId="616825B7">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以预防复发为主要目标，重点监测药物远期不良反应，监测血常规、肝肾功能、血糖血脂、心电图、药物浓度等指标，评定药物不良反应。</w:t>
      </w:r>
    </w:p>
    <w:p w14:paraId="65B7E9DF">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（三）偏执性精神障碍</w:t>
      </w:r>
    </w:p>
    <w:p w14:paraId="475F9572">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1</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.治疗原则</w:t>
      </w:r>
    </w:p>
    <w:p w14:paraId="15E8721D">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以药物治疗为主，疗效有限</w:t>
      </w:r>
      <w:r>
        <w:rPr>
          <w:rFonts w:hint="eastAsia" w:ascii="仿宋_GB2312" w:hAnsi="仿宋_GB2312" w:eastAsia="仿宋_GB2312" w:cs="仿宋_GB2312"/>
          <w:color w:val="000000" w:themeColor="text1"/>
          <w:spacing w:val="0"/>
          <w:kern w:val="0"/>
          <w:sz w:val="32"/>
          <w:szCs w:val="32"/>
          <w:lang w:val="en-US" w:eastAsia="zh-CN"/>
          <w14:textFill>
            <w14:solidFill>
              <w14:schemeClr w14:val="tx1"/>
            </w14:solidFill>
          </w14:textFill>
        </w:rPr>
        <w:t>可</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结合支持性心理治疗改善社会功能</w:t>
      </w:r>
      <w:r>
        <w:rPr>
          <w:rFonts w:hint="eastAsia" w:ascii="仿宋_GB2312" w:hAnsi="仿宋_GB2312" w:eastAsia="仿宋_GB2312" w:cs="仿宋_GB2312"/>
          <w:color w:val="000000" w:themeColor="text1"/>
          <w:spacing w:val="0"/>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病程多呈慢性迁延，需长期治疗。</w:t>
      </w:r>
    </w:p>
    <w:p w14:paraId="68D01173">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2</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.药物治疗</w:t>
      </w:r>
    </w:p>
    <w:p w14:paraId="0FBAD9B6">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首选第二代抗精神病药物，剂量根据患者耐受性和疗效个体化调整，对妄想信念不要求完全消除，以减轻症状、改善社会功能为目标。</w:t>
      </w:r>
    </w:p>
    <w:p w14:paraId="52D7146C">
      <w:pPr>
        <w:keepNext w:val="0"/>
        <w:keepLines w:val="0"/>
        <w:pageBreakBefore w:val="0"/>
        <w:widowControl w:val="0"/>
        <w:numPr>
          <w:ilvl w:val="255"/>
          <w:numId w:val="0"/>
        </w:numPr>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3</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.心理治疗</w:t>
      </w:r>
    </w:p>
    <w:p w14:paraId="1360C80D">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采用认知行为治疗与支持性心理治疗，矫正不合理信念，改善社会适应。</w:t>
      </w:r>
    </w:p>
    <w:p w14:paraId="3C0D6813">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（四）癫痫所致精神障碍</w:t>
      </w:r>
    </w:p>
    <w:p w14:paraId="6D6A66A3">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1</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.治疗原则</w:t>
      </w:r>
    </w:p>
    <w:p w14:paraId="215D5EC4">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首先控制癫痫发作，针对精神症状对症治疗，注意抗癫痫药物与精神药物的相互作用，定期评价疗效，指导治疗方案。定期评定药物不良反应，并对症处理。</w:t>
      </w:r>
    </w:p>
    <w:p w14:paraId="4A9E2D90">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2</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.癫痫发作控制</w:t>
      </w:r>
    </w:p>
    <w:p w14:paraId="772377FC">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规范使用抗癫痫药物，监测血常规、肝肾功能、血糖血脂、药物浓度、心电图、脑电图等指标，评定药物不良反应。</w:t>
      </w:r>
    </w:p>
    <w:p w14:paraId="38A7F2D2">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3</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.精神症状治疗</w:t>
      </w:r>
    </w:p>
    <w:p w14:paraId="47DFCCED">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精神病性症状：选用致痫作用弱的抗精神病药；情绪障碍：选用心境稳定剂或抗抑郁药；人格改变：以心理治疗和行为干预为主。</w:t>
      </w:r>
    </w:p>
    <w:p w14:paraId="2048EF28">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（五）精神发育迟滞伴发精神障碍</w:t>
      </w:r>
    </w:p>
    <w:p w14:paraId="007DA07B">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1</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.治疗原则</w:t>
      </w:r>
    </w:p>
    <w:p w14:paraId="2403BCE2">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以教育训练和康复为主，精神症状对症药物治疗，注意药物剂量宜小，加量宜慢，定期评价疗效，指导治疗方案。定期评定药物不良反应，并对症处理。</w:t>
      </w:r>
    </w:p>
    <w:p w14:paraId="7F245798">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2</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.精神症状治疗</w:t>
      </w:r>
    </w:p>
    <w:p w14:paraId="1FC87D1E">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行为紊乱、冲动攻击：小剂量抗精神病药，多动注意缺陷：选用中枢兴奋剂或托莫西汀，情绪障碍：选用抗抑郁药或心境稳定剂。</w:t>
      </w:r>
    </w:p>
    <w:p w14:paraId="40F2131E">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3</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.康复训练</w:t>
      </w:r>
    </w:p>
    <w:p w14:paraId="21B31E75">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生活自理能力训练，社会适应能力训练，职业技能训练。</w:t>
      </w:r>
    </w:p>
    <w:p w14:paraId="292FACAD">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（六）分裂情感性障碍</w:t>
      </w:r>
    </w:p>
    <w:p w14:paraId="442297EA">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1</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.治疗原则</w:t>
      </w:r>
    </w:p>
    <w:p w14:paraId="5FA93BC5">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同时针对精神病性症状和情感症状治疗，以抗精神病药联合心境稳定剂为主。躁狂相：心境稳定剂+抗精神病药；抑郁相：抗精神病药+心境稳定剂，必要时谨慎加用抗抑郁药；维持期：继续使用急性期有效的药物组合，预防复发。</w:t>
      </w:r>
    </w:p>
    <w:p w14:paraId="016F8157">
      <w:pPr>
        <w:keepNext w:val="0"/>
        <w:keepLines w:val="0"/>
        <w:pageBreakBefore w:val="0"/>
        <w:widowControl w:val="0"/>
        <w:kinsoku/>
        <w:wordWrap/>
        <w:overflowPunct/>
        <w:topLinePunct w:val="0"/>
        <w:autoSpaceDE/>
        <w:autoSpaceDN/>
        <w:bidi w:val="0"/>
        <w:adjustRightInd/>
        <w:snapToGrid/>
        <w:spacing w:line="586"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定期评价疗效，指导治疗方案。定期评定药物不良反应，并对症处理</w:t>
      </w:r>
      <w:r>
        <w:rPr>
          <w:rFonts w:hint="eastAsia" w:ascii="仿宋_GB2312" w:hAnsi="仿宋_GB2312" w:eastAsia="仿宋_GB2312" w:cs="仿宋_GB2312"/>
          <w:color w:val="000000" w:themeColor="text1"/>
          <w:spacing w:val="0"/>
          <w:kern w:val="0"/>
          <w:sz w:val="32"/>
          <w:szCs w:val="32"/>
          <w:lang w:eastAsia="zh-CN"/>
          <w14:textFill>
            <w14:solidFill>
              <w14:schemeClr w14:val="tx1"/>
            </w14:solidFill>
          </w14:textFill>
        </w:rPr>
        <w:t>。</w:t>
      </w:r>
    </w:p>
    <w:p w14:paraId="6E47F25A">
      <w:pPr>
        <w:rPr>
          <w:rFonts w:hint="eastAsia" w:ascii="仿宋_GB2312" w:hAnsi="仿宋_GB2312" w:eastAsia="仿宋_GB2312" w:cs="仿宋_GB2312"/>
          <w:b/>
          <w:bCs/>
          <w:snapToGrid w:val="0"/>
          <w:spacing w:val="0"/>
          <w:kern w:val="0"/>
          <w:sz w:val="30"/>
          <w:szCs w:val="30"/>
        </w:rPr>
      </w:pPr>
      <w:r>
        <w:rPr>
          <w:rFonts w:hint="eastAsia" w:ascii="仿宋_GB2312" w:hAnsi="仿宋_GB2312" w:eastAsia="仿宋_GB2312" w:cs="仿宋_GB2312"/>
          <w:b/>
          <w:bCs/>
          <w:snapToGrid w:val="0"/>
          <w:spacing w:val="0"/>
          <w:kern w:val="0"/>
          <w:sz w:val="30"/>
          <w:szCs w:val="30"/>
        </w:rPr>
        <w:br w:type="page"/>
      </w:r>
    </w:p>
    <w:p w14:paraId="5D78E4FA">
      <w:pPr>
        <w:keepNext w:val="0"/>
        <w:keepLines w:val="0"/>
        <w:pageBreakBefore w:val="0"/>
        <w:widowControl w:val="0"/>
        <w:numPr>
          <w:ilvl w:val="0"/>
          <w:numId w:val="0"/>
        </w:numPr>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lang w:val="en-US" w:eastAsia="zh-CN" w:bidi="ar-SA"/>
          <w14:textFill>
            <w14:solidFill>
              <w14:schemeClr w14:val="tx1"/>
            </w14:solidFill>
          </w14:textFill>
        </w:rPr>
      </w:pPr>
      <w:bookmarkStart w:id="12" w:name="heading_19"/>
    </w:p>
    <w:p w14:paraId="2DD05C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小标宋_GBK" w:hAnsi="方正小标宋_GBK" w:eastAsia="方正小标宋_GBK" w:cs="方正小标宋_GBK"/>
          <w:color w:val="000000" w:themeColor="text1"/>
          <w:spacing w:val="11"/>
          <w:sz w:val="44"/>
          <w:szCs w:val="44"/>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pacing w:val="11"/>
          <w:sz w:val="44"/>
          <w:szCs w:val="44"/>
          <w:lang w:val="en-US" w:eastAsia="zh-CN"/>
          <w14:textFill>
            <w14:solidFill>
              <w14:schemeClr w14:val="tx1"/>
            </w14:solidFill>
          </w14:textFill>
        </w:rPr>
        <w:t>第五章  住院管理规范</w:t>
      </w:r>
      <w:bookmarkEnd w:id="12"/>
    </w:p>
    <w:p w14:paraId="6F0610D7">
      <w:pPr>
        <w:keepNext w:val="0"/>
        <w:keepLines w:val="0"/>
        <w:pageBreakBefore w:val="0"/>
        <w:widowControl w:val="0"/>
        <w:kinsoku/>
        <w:wordWrap/>
        <w:overflowPunct/>
        <w:topLinePunct w:val="0"/>
        <w:autoSpaceDE/>
        <w:autoSpaceDN/>
        <w:bidi w:val="0"/>
        <w:adjustRightInd/>
        <w:snapToGrid/>
        <w:spacing w:line="54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bookmarkStart w:id="13" w:name="heading_20"/>
    </w:p>
    <w:p w14:paraId="5AFA1FCC">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spacing w:val="0"/>
          <w:w w:val="100"/>
          <w:kern w:val="0"/>
          <w:sz w:val="32"/>
          <w:szCs w:val="32"/>
          <w14:textFill>
            <w14:solidFill>
              <w14:schemeClr w14:val="tx1"/>
            </w14:solidFill>
          </w14:textFill>
        </w:rPr>
      </w:pPr>
      <w:r>
        <w:rPr>
          <w:rFonts w:hint="eastAsia" w:ascii="黑体" w:hAnsi="黑体" w:eastAsia="黑体" w:cs="黑体"/>
          <w:color w:val="000000" w:themeColor="text1"/>
          <w:spacing w:val="0"/>
          <w:w w:val="100"/>
          <w:kern w:val="0"/>
          <w:sz w:val="32"/>
          <w:szCs w:val="32"/>
          <w14:textFill>
            <w14:solidFill>
              <w14:schemeClr w14:val="tx1"/>
            </w14:solidFill>
          </w14:textFill>
        </w:rPr>
        <w:t>一、住院治疗标准</w:t>
      </w:r>
      <w:bookmarkEnd w:id="13"/>
    </w:p>
    <w:p w14:paraId="6E9AC439">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无论何种住院形式，均须符合明确的医疗必要性。严禁因非医疗原因收治患者。医疗必要性指征包括但不限于精神症状严重、影响生命安全（自伤/自杀风险）或存在危害他人安全的行为或危险，门诊治疗或社区管理效果不佳，病情明显影响社会功能等。</w:t>
      </w:r>
      <w:bookmarkStart w:id="14" w:name="heading_22"/>
    </w:p>
    <w:p w14:paraId="47074306">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spacing w:val="0"/>
          <w:w w:val="100"/>
          <w:kern w:val="0"/>
          <w:sz w:val="32"/>
          <w:szCs w:val="32"/>
          <w14:textFill>
            <w14:solidFill>
              <w14:schemeClr w14:val="tx1"/>
            </w14:solidFill>
          </w14:textFill>
        </w:rPr>
      </w:pPr>
      <w:r>
        <w:rPr>
          <w:rFonts w:hint="eastAsia" w:ascii="黑体" w:hAnsi="黑体" w:eastAsia="黑体" w:cs="黑体"/>
          <w:color w:val="000000" w:themeColor="text1"/>
          <w:spacing w:val="0"/>
          <w:w w:val="100"/>
          <w:kern w:val="0"/>
          <w:sz w:val="32"/>
          <w:szCs w:val="32"/>
          <w14:textFill>
            <w14:solidFill>
              <w14:schemeClr w14:val="tx1"/>
            </w14:solidFill>
          </w14:textFill>
        </w:rPr>
        <w:t>二、住院形式分类</w:t>
      </w:r>
      <w:bookmarkEnd w:id="14"/>
    </w:p>
    <w:p w14:paraId="07CE0C23">
      <w:pPr>
        <w:keepNext w:val="0"/>
        <w:keepLines w:val="0"/>
        <w:pageBreakBefore w:val="0"/>
        <w:widowControl w:val="0"/>
        <w:numPr>
          <w:ilvl w:val="255"/>
          <w:numId w:val="0"/>
        </w:numPr>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住院形式分为自愿住院和非自愿住院两类。</w:t>
      </w:r>
    </w:p>
    <w:p w14:paraId="4F820E22">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（一）自愿住院</w:t>
      </w:r>
    </w:p>
    <w:p w14:paraId="3CED1616">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精神障碍患者本人自愿到医疗机构就诊，经精神科执业医师诊断需要住院治疗的，实行自愿住院。</w:t>
      </w:r>
    </w:p>
    <w:p w14:paraId="56B2F6FB">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（二）非自愿住院</w:t>
      </w:r>
    </w:p>
    <w:p w14:paraId="12964726">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患者不接受自愿住院，诊断结论、病情评估表明其为严重精神障碍患者，并具有下列情形之一的</w:t>
      </w:r>
      <w:r>
        <w:rPr>
          <w:rFonts w:hint="eastAsia" w:ascii="仿宋_GB2312" w:hAnsi="仿宋_GB2312" w:eastAsia="仿宋_GB2312" w:cs="仿宋_GB2312"/>
          <w:color w:val="000000" w:themeColor="text1"/>
          <w:spacing w:val="0"/>
          <w:w w:val="100"/>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应当实施非自愿住院治疗：①已经发生伤害自身的行为，或者有伤害自身的危险；②已经发生危害他人安全的行为，或者有危害他人安全的危险。</w:t>
      </w:r>
    </w:p>
    <w:p w14:paraId="0F15FAD5">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非自愿住院视诊断情况分为以下两种：①紧急入院观察，医疗机构接到依照《中华人民共和国精神卫生法》第二十八条第二款规定送诊的疑似精神障碍患者（含公安机关送诊的情形），无法</w:t>
      </w:r>
      <w:r>
        <w:rPr>
          <w:rFonts w:hint="eastAsia" w:ascii="仿宋_GB2312" w:hAnsi="仿宋_GB2312" w:eastAsia="仿宋_GB2312" w:cs="仿宋_GB2312"/>
          <w:color w:val="000000" w:themeColor="text1"/>
          <w:spacing w:val="0"/>
          <w:w w:val="100"/>
          <w:kern w:val="0"/>
          <w:sz w:val="32"/>
          <w:szCs w:val="32"/>
          <w:lang w:val="en-US" w:eastAsia="zh-CN"/>
          <w14:textFill>
            <w14:solidFill>
              <w14:schemeClr w14:val="tx1"/>
            </w14:solidFill>
          </w14:textFill>
        </w:rPr>
        <w:t>及时出具</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诊断结论的，应当将其留院观察，紧急</w:t>
      </w:r>
      <w:r>
        <w:rPr>
          <w:rFonts w:hint="eastAsia" w:ascii="仿宋_GB2312" w:hAnsi="仿宋_GB2312" w:eastAsia="仿宋_GB2312" w:cs="仿宋_GB2312"/>
          <w:color w:val="000000" w:themeColor="text1"/>
          <w:spacing w:val="0"/>
          <w:w w:val="100"/>
          <w:kern w:val="0"/>
          <w:sz w:val="32"/>
          <w:szCs w:val="32"/>
          <w:lang w:val="en-US" w:eastAsia="zh-CN"/>
          <w14:textFill>
            <w14:solidFill>
              <w14:schemeClr w14:val="tx1"/>
            </w14:solidFill>
          </w14:textFill>
        </w:rPr>
        <w:t>入</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院一般在</w:t>
      </w:r>
      <w:r>
        <w:rPr>
          <w:rFonts w:hint="eastAsia" w:ascii="Times New Roman" w:hAnsi="Times New Roman" w:eastAsia="仿宋_GB2312" w:cs="仿宋_GB2312"/>
          <w:color w:val="000000" w:themeColor="text1"/>
          <w:spacing w:val="0"/>
          <w:w w:val="100"/>
          <w:kern w:val="0"/>
          <w:sz w:val="32"/>
          <w:szCs w:val="32"/>
          <w14:textFill>
            <w14:solidFill>
              <w14:schemeClr w14:val="tx1"/>
            </w14:solidFill>
          </w14:textFill>
        </w:rPr>
        <w:t>72</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小时内作出诊断结论，疑难病例可延长至</w:t>
      </w:r>
      <w:r>
        <w:rPr>
          <w:rFonts w:hint="eastAsia" w:ascii="Times New Roman" w:hAnsi="Times New Roman" w:eastAsia="仿宋_GB2312" w:cs="仿宋_GB2312"/>
          <w:color w:val="000000" w:themeColor="text1"/>
          <w:spacing w:val="0"/>
          <w:w w:val="100"/>
          <w:kern w:val="0"/>
          <w:sz w:val="32"/>
          <w:szCs w:val="32"/>
          <w14:textFill>
            <w14:solidFill>
              <w14:schemeClr w14:val="tx1"/>
            </w14:solidFill>
          </w14:textFill>
        </w:rPr>
        <w:t>14</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天</w:t>
      </w:r>
      <w:r>
        <w:rPr>
          <w:rFonts w:hint="eastAsia" w:ascii="仿宋_GB2312" w:hAnsi="仿宋_GB2312" w:eastAsia="仿宋_GB2312" w:cs="仿宋_GB2312"/>
          <w:color w:val="000000" w:themeColor="text1"/>
          <w:spacing w:val="0"/>
          <w:w w:val="100"/>
          <w:kern w:val="0"/>
          <w:sz w:val="32"/>
          <w:szCs w:val="32"/>
          <w:lang w:val="en-US" w:eastAsia="zh-CN"/>
          <w14:textFill>
            <w14:solidFill>
              <w14:schemeClr w14:val="tx1"/>
            </w14:solidFill>
          </w14:textFill>
        </w:rPr>
        <w:t>作出</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诊断结论。紧急入院观察期间，医疗机构应当按照医疗规范对患者进行监护</w:t>
      </w:r>
      <w:r>
        <w:rPr>
          <w:rFonts w:hint="eastAsia" w:ascii="仿宋_GB2312" w:hAnsi="仿宋_GB2312" w:eastAsia="仿宋_GB2312" w:cs="仿宋_GB2312"/>
          <w:color w:val="000000" w:themeColor="text1"/>
          <w:spacing w:val="0"/>
          <w:w w:val="100"/>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w w:val="100"/>
          <w:kern w:val="0"/>
          <w:sz w:val="32"/>
          <w:szCs w:val="32"/>
          <w:lang w:val="en-US" w:eastAsia="zh-CN"/>
          <w14:textFill>
            <w14:solidFill>
              <w14:schemeClr w14:val="tx1"/>
            </w14:solidFill>
          </w14:textFill>
        </w:rPr>
        <w:t>诊断</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和必要的治疗，观察期满后，根据诊断结论依法转为自愿住院、非自愿住院或办理出院；②经诊断确定符合法定非自愿住院情形的，应当转入非自愿住院治疗，依照《中华人民共和国精神卫生法》第三十一条至第三十六条的规定执行。</w:t>
      </w:r>
    </w:p>
    <w:p w14:paraId="542C4180">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spacing w:val="0"/>
          <w:w w:val="100"/>
          <w:kern w:val="0"/>
          <w:sz w:val="32"/>
          <w:szCs w:val="32"/>
          <w14:textFill>
            <w14:solidFill>
              <w14:schemeClr w14:val="tx1"/>
            </w14:solidFill>
          </w14:textFill>
        </w:rPr>
      </w:pPr>
      <w:bookmarkStart w:id="15" w:name="heading_23"/>
      <w:r>
        <w:rPr>
          <w:rFonts w:hint="eastAsia" w:ascii="黑体" w:hAnsi="黑体" w:eastAsia="黑体" w:cs="黑体"/>
          <w:color w:val="000000" w:themeColor="text1"/>
          <w:spacing w:val="0"/>
          <w:w w:val="100"/>
          <w:kern w:val="0"/>
          <w:sz w:val="32"/>
          <w:szCs w:val="32"/>
          <w14:textFill>
            <w14:solidFill>
              <w14:schemeClr w14:val="tx1"/>
            </w14:solidFill>
          </w14:textFill>
        </w:rPr>
        <w:t>三、送诊主体</w:t>
      </w:r>
      <w:bookmarkEnd w:id="15"/>
      <w:r>
        <w:rPr>
          <w:rFonts w:hint="eastAsia" w:ascii="黑体" w:hAnsi="黑体" w:eastAsia="黑体" w:cs="黑体"/>
          <w:color w:val="000000" w:themeColor="text1"/>
          <w:spacing w:val="0"/>
          <w:w w:val="100"/>
          <w:kern w:val="0"/>
          <w:sz w:val="32"/>
          <w:szCs w:val="32"/>
          <w14:textFill>
            <w14:solidFill>
              <w14:schemeClr w14:val="tx1"/>
            </w14:solidFill>
          </w14:textFill>
        </w:rPr>
        <w:t>接收管理</w:t>
      </w:r>
    </w:p>
    <w:p w14:paraId="48246EDA">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（一）自行就诊患者</w:t>
      </w:r>
    </w:p>
    <w:p w14:paraId="6AA50F70">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患者本人自行到医疗机构进行精神障碍诊断，按门诊流程办理。</w:t>
      </w:r>
    </w:p>
    <w:p w14:paraId="0E606E5D">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（二）近亲属送诊患者</w:t>
      </w:r>
    </w:p>
    <w:p w14:paraId="6611EDB7">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疑似精神障碍患者的近亲属可以将其送往医疗机构进行精神障碍诊断。近亲属包括：配偶、父母、子女、兄弟姐妹、祖父母、外祖父母、孙子女、外孙子女。</w:t>
      </w:r>
    </w:p>
    <w:p w14:paraId="24595D7E">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（三）其他送诊主体</w:t>
      </w:r>
    </w:p>
    <w:p w14:paraId="322D704E">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精神障碍患者或疑似精神障碍患者发生伤害自身、危害他人安全的行为，或者有伤害自身、危害他人安全的危险的，其近亲属、所在单位、当地公安机关等应当立即采取措施予以制止；无近亲属或近亲属不在场的，其所在单位、村（居）民委员会、当地公安机关等有权将其送往辖区指定精神卫生医疗机构进行精神障碍诊断。</w:t>
      </w:r>
    </w:p>
    <w:p w14:paraId="6973C10F">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对查找不到近亲属的流浪乞讨疑似精神障碍患者，由当地民政等有关部门按照职责分工，帮助送往医疗机构进行精神障碍诊断。</w:t>
      </w:r>
    </w:p>
    <w:p w14:paraId="13F3C7BC">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spacing w:val="0"/>
          <w:w w:val="100"/>
          <w:kern w:val="0"/>
          <w:sz w:val="32"/>
          <w:szCs w:val="32"/>
          <w14:textFill>
            <w14:solidFill>
              <w14:schemeClr w14:val="tx1"/>
            </w14:solidFill>
          </w14:textFill>
        </w:rPr>
      </w:pPr>
      <w:bookmarkStart w:id="16" w:name="heading_24"/>
      <w:r>
        <w:rPr>
          <w:rFonts w:hint="eastAsia" w:ascii="黑体" w:hAnsi="黑体" w:eastAsia="黑体" w:cs="黑体"/>
          <w:color w:val="000000" w:themeColor="text1"/>
          <w:spacing w:val="0"/>
          <w:w w:val="100"/>
          <w:kern w:val="0"/>
          <w:sz w:val="32"/>
          <w:szCs w:val="32"/>
          <w14:textFill>
            <w14:solidFill>
              <w14:schemeClr w14:val="tx1"/>
            </w14:solidFill>
          </w14:textFill>
        </w:rPr>
        <w:t>四、入院评估</w:t>
      </w:r>
      <w:bookmarkEnd w:id="16"/>
    </w:p>
    <w:p w14:paraId="61852A55">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bookmarkStart w:id="17" w:name="heading_25"/>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所有患者收治前，由精神科执业医师完成医学评估，核实病史资料、身份信息、肇事肇祸风险及收治必要性。病历中应当详细记录主诉、现病史、既往史、精神检查、辅助检查及初步诊断结论。</w:t>
      </w:r>
    </w:p>
    <w:p w14:paraId="73D93EA1">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spacing w:val="0"/>
          <w:w w:val="100"/>
          <w:kern w:val="0"/>
          <w:sz w:val="32"/>
          <w:szCs w:val="32"/>
          <w14:textFill>
            <w14:solidFill>
              <w14:schemeClr w14:val="tx1"/>
            </w14:solidFill>
          </w14:textFill>
        </w:rPr>
      </w:pPr>
      <w:r>
        <w:rPr>
          <w:rFonts w:hint="eastAsia" w:ascii="黑体" w:hAnsi="黑体" w:eastAsia="黑体" w:cs="黑体"/>
          <w:color w:val="000000" w:themeColor="text1"/>
          <w:spacing w:val="0"/>
          <w:w w:val="100"/>
          <w:kern w:val="0"/>
          <w:sz w:val="32"/>
          <w:szCs w:val="32"/>
          <w14:textFill>
            <w14:solidFill>
              <w14:schemeClr w14:val="tx1"/>
            </w14:solidFill>
          </w14:textFill>
        </w:rPr>
        <w:t>五、住院手续办理</w:t>
      </w:r>
      <w:bookmarkEnd w:id="17"/>
    </w:p>
    <w:p w14:paraId="7830770C">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各类住院形式均应当依照《中华人民共和国精神卫生法》第三十六条规定办理住院手续，签署相应的入院告知文书：</w:t>
      </w:r>
    </w:p>
    <w:p w14:paraId="455B51DD">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（一）自愿住院</w:t>
      </w:r>
    </w:p>
    <w:p w14:paraId="0182EE4E">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由患者本人和／或法定监护人签署《自愿住院治疗患者声明》（详见附表</w:t>
      </w:r>
      <w:r>
        <w:rPr>
          <w:rFonts w:hint="eastAsia" w:ascii="Times New Roman" w:hAnsi="Times New Roman" w:eastAsia="仿宋_GB2312" w:cs="仿宋_GB2312"/>
          <w:color w:val="000000" w:themeColor="text1"/>
          <w:spacing w:val="0"/>
          <w:w w:val="100"/>
          <w:kern w:val="0"/>
          <w:sz w:val="32"/>
          <w:szCs w:val="32"/>
          <w14:textFill>
            <w14:solidFill>
              <w14:schemeClr w14:val="tx1"/>
            </w14:solidFill>
          </w14:textFill>
        </w:rPr>
        <w:t>2</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w:t>
      </w:r>
    </w:p>
    <w:p w14:paraId="27040936">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（二）非自愿住院</w:t>
      </w:r>
    </w:p>
    <w:p w14:paraId="05DF9939">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依照本规范前述非自愿住院两类法定情形分别办理。</w:t>
      </w:r>
    </w:p>
    <w:p w14:paraId="5FBA6247">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w:t>
      </w:r>
      <w:r>
        <w:rPr>
          <w:rFonts w:hint="eastAsia" w:ascii="Times New Roman" w:hAnsi="Times New Roman" w:eastAsia="仿宋_GB2312" w:cs="仿宋_GB2312"/>
          <w:color w:val="000000" w:themeColor="text1"/>
          <w:spacing w:val="0"/>
          <w:w w:val="100"/>
          <w:kern w:val="0"/>
          <w:sz w:val="32"/>
          <w:szCs w:val="32"/>
          <w14:textFill>
            <w14:solidFill>
              <w14:schemeClr w14:val="tx1"/>
            </w14:solidFill>
          </w14:textFill>
        </w:rPr>
        <w:t>1</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）伤害自身情形</w:t>
      </w:r>
    </w:p>
    <w:p w14:paraId="56FE6F7F">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经其监护人同意，医疗机构应当对患者实施住院治疗，并签署《非自愿住院治疗入院知情同意书》（详见附表</w:t>
      </w:r>
      <w:r>
        <w:rPr>
          <w:rFonts w:hint="eastAsia" w:ascii="Times New Roman" w:hAnsi="Times New Roman" w:eastAsia="仿宋_GB2312" w:cs="仿宋_GB2312"/>
          <w:color w:val="000000" w:themeColor="text1"/>
          <w:spacing w:val="0"/>
          <w:w w:val="100"/>
          <w:kern w:val="0"/>
          <w:sz w:val="32"/>
          <w:szCs w:val="32"/>
          <w14:textFill>
            <w14:solidFill>
              <w14:schemeClr w14:val="tx1"/>
            </w14:solidFill>
          </w14:textFill>
        </w:rPr>
        <w:t>3</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）；监护人不同意的，医疗机构不得对患者实施住院治疗，监护人应当对在家居住的患者做好看护管理。</w:t>
      </w:r>
    </w:p>
    <w:p w14:paraId="7725D4F5">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w:t>
      </w:r>
      <w:r>
        <w:rPr>
          <w:rFonts w:hint="eastAsia" w:ascii="Times New Roman" w:hAnsi="Times New Roman" w:eastAsia="仿宋_GB2312" w:cs="仿宋_GB2312"/>
          <w:color w:val="000000" w:themeColor="text1"/>
          <w:spacing w:val="0"/>
          <w:w w:val="100"/>
          <w:kern w:val="0"/>
          <w:sz w:val="32"/>
          <w:szCs w:val="32"/>
          <w14:textFill>
            <w14:solidFill>
              <w14:schemeClr w14:val="tx1"/>
            </w14:solidFill>
          </w14:textFill>
        </w:rPr>
        <w:t>2</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）危害他人安全情形</w:t>
      </w:r>
    </w:p>
    <w:p w14:paraId="2221D49F">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患者或其监护人对需要住院治疗的诊断结论有异议，不同意对患者实施住院治疗的，可以依法申请再次诊断和鉴定。经再次诊断或鉴定</w:t>
      </w:r>
      <w:r>
        <w:rPr>
          <w:rFonts w:hint="eastAsia" w:ascii="仿宋_GB2312" w:hAnsi="仿宋_GB2312" w:eastAsia="仿宋_GB2312" w:cs="仿宋_GB2312"/>
          <w:color w:val="000000" w:themeColor="text1"/>
          <w:spacing w:val="0"/>
          <w:w w:val="100"/>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确认患者符合非自愿住院治疗条件，监护人仍阻碍实施住院治疗或者患者擅自脱离住院治疗的，可以由公安机关协助医疗机构采取措施对患者实施住院治疗。</w:t>
      </w:r>
    </w:p>
    <w:p w14:paraId="527E6AE0">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医疗机构应留存公安机关协助的相关记录，并在患者病历中如实记载。收治全过程依法保障患者及监护人申请再次诊断、鉴定的权利</w:t>
      </w:r>
      <w:r>
        <w:rPr>
          <w:rFonts w:hint="eastAsia" w:ascii="仿宋_GB2312" w:hAnsi="仿宋_GB2312" w:eastAsia="仿宋_GB2312" w:cs="仿宋_GB2312"/>
          <w:color w:val="000000" w:themeColor="text1"/>
          <w:spacing w:val="0"/>
          <w:w w:val="100"/>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w w:val="100"/>
          <w:kern w:val="0"/>
          <w:sz w:val="32"/>
          <w:szCs w:val="32"/>
          <w:lang w:val="en-US" w:eastAsia="zh-CN"/>
          <w14:textFill>
            <w14:solidFill>
              <w14:schemeClr w14:val="tx1"/>
            </w14:solidFill>
          </w14:textFill>
        </w:rPr>
        <w:t>对既往未确诊的非自愿住院患者，</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须经两名精神科执业医师共同评估并签字确认，在相关机构出具再次诊断结论、鉴定报告前，收治精神障碍患者的医疗机构应当按照诊疗规范的要求对患者实施住院治疗。</w:t>
      </w:r>
    </w:p>
    <w:p w14:paraId="4C01F2DC">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（三）</w:t>
      </w:r>
      <w:r>
        <w:rPr>
          <w:rFonts w:hint="eastAsia" w:ascii="楷体_GB2312" w:hAnsi="楷体_GB2312" w:eastAsia="楷体_GB2312" w:cs="楷体_GB2312"/>
          <w:color w:val="000000" w:themeColor="text1"/>
          <w:spacing w:val="0"/>
          <w:kern w:val="0"/>
          <w:sz w:val="32"/>
          <w:szCs w:val="32"/>
          <w:lang w:val="en-US" w:eastAsia="zh-CN"/>
          <w14:textFill>
            <w14:solidFill>
              <w14:schemeClr w14:val="tx1"/>
            </w14:solidFill>
          </w14:textFill>
        </w:rPr>
        <w:t>严重精神障碍需住院治疗，</w:t>
      </w:r>
      <w:r>
        <w:rPr>
          <w:rFonts w:hint="eastAsia" w:ascii="楷体_GB2312" w:hAnsi="楷体_GB2312" w:eastAsia="楷体_GB2312" w:cs="楷体_GB2312"/>
          <w:color w:val="000000" w:themeColor="text1"/>
          <w:spacing w:val="0"/>
          <w:kern w:val="0"/>
          <w:sz w:val="32"/>
          <w:szCs w:val="32"/>
          <w14:textFill>
            <w14:solidFill>
              <w14:schemeClr w14:val="tx1"/>
            </w14:solidFill>
          </w14:textFill>
        </w:rPr>
        <w:t>监护人缺位或拒不办理手续</w:t>
      </w:r>
      <w:r>
        <w:rPr>
          <w:rFonts w:hint="eastAsia" w:ascii="楷体_GB2312" w:hAnsi="楷体_GB2312" w:eastAsia="楷体_GB2312" w:cs="楷体_GB2312"/>
          <w:color w:val="000000" w:themeColor="text1"/>
          <w:spacing w:val="0"/>
          <w:kern w:val="0"/>
          <w:sz w:val="32"/>
          <w:szCs w:val="32"/>
          <w:lang w:eastAsia="zh-CN"/>
          <w14:textFill>
            <w14:solidFill>
              <w14:schemeClr w14:val="tx1"/>
            </w14:solidFill>
          </w14:textFill>
        </w:rPr>
        <w:t>情形</w:t>
      </w:r>
    </w:p>
    <w:p w14:paraId="415F67AE">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查找不到监护人的流浪乞讨人员，由送诊的有关部门办理住院手续；有危害他人安全情形监护人不办理住院手续的，由患者所在单位或村（居）民委员会办理住院手续，并签署相关入院告知文书，医疗机构应在患者病历中予以记录。</w:t>
      </w:r>
    </w:p>
    <w:p w14:paraId="092B23BB">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spacing w:val="0"/>
          <w:w w:val="100"/>
          <w:kern w:val="0"/>
          <w:sz w:val="32"/>
          <w:szCs w:val="32"/>
          <w14:textFill>
            <w14:solidFill>
              <w14:schemeClr w14:val="tx1"/>
            </w14:solidFill>
          </w14:textFill>
        </w:rPr>
      </w:pPr>
      <w:bookmarkStart w:id="18" w:name="heading_26"/>
      <w:r>
        <w:rPr>
          <w:rFonts w:hint="eastAsia" w:ascii="黑体" w:hAnsi="黑体" w:eastAsia="黑体" w:cs="黑体"/>
          <w:color w:val="000000" w:themeColor="text1"/>
          <w:spacing w:val="0"/>
          <w:w w:val="100"/>
          <w:kern w:val="0"/>
          <w:sz w:val="32"/>
          <w:szCs w:val="32"/>
          <w14:textFill>
            <w14:solidFill>
              <w14:schemeClr w14:val="tx1"/>
            </w14:solidFill>
          </w14:textFill>
        </w:rPr>
        <w:t>六、公安机关送诊的工作要求</w:t>
      </w:r>
      <w:bookmarkEnd w:id="18"/>
    </w:p>
    <w:p w14:paraId="3CA94FEF">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bookmarkStart w:id="19" w:name="heading_27"/>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医疗机构收治公安机关送诊的疑似精神障碍患者时，应当记录送诊人员的姓名、单位、联系方式及送诊时间，并在病历中记载送诊主体、送诊原因、交接时间、交接人员签名等。</w:t>
      </w:r>
    </w:p>
    <w:bookmarkEnd w:id="19"/>
    <w:p w14:paraId="64FEB5A8">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spacing w:val="0"/>
          <w:w w:val="100"/>
          <w:kern w:val="0"/>
          <w:sz w:val="32"/>
          <w:szCs w:val="32"/>
          <w14:textFill>
            <w14:solidFill>
              <w14:schemeClr w14:val="tx1"/>
            </w14:solidFill>
          </w14:textFill>
        </w:rPr>
      </w:pPr>
      <w:bookmarkStart w:id="20" w:name="heading_28"/>
      <w:r>
        <w:rPr>
          <w:rFonts w:hint="eastAsia" w:ascii="黑体" w:hAnsi="黑体" w:eastAsia="黑体" w:cs="黑体"/>
          <w:color w:val="000000" w:themeColor="text1"/>
          <w:spacing w:val="0"/>
          <w:w w:val="100"/>
          <w:kern w:val="0"/>
          <w:sz w:val="32"/>
          <w:szCs w:val="32"/>
          <w14:textFill>
            <w14:solidFill>
              <w14:schemeClr w14:val="tx1"/>
            </w14:solidFill>
          </w14:textFill>
        </w:rPr>
        <w:t>七、诊疗过程规范</w:t>
      </w:r>
      <w:bookmarkEnd w:id="20"/>
    </w:p>
    <w:p w14:paraId="16C0258D">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严格遵守医疗核心制度与《精神障碍诊疗规范》（</w:t>
      </w:r>
      <w:r>
        <w:rPr>
          <w:rFonts w:hint="eastAsia" w:ascii="Times New Roman" w:hAnsi="Times New Roman" w:eastAsia="仿宋_GB2312" w:cs="仿宋_GB2312"/>
          <w:color w:val="000000" w:themeColor="text1"/>
          <w:spacing w:val="0"/>
          <w:w w:val="100"/>
          <w:kern w:val="0"/>
          <w:sz w:val="32"/>
          <w:szCs w:val="32"/>
          <w14:textFill>
            <w14:solidFill>
              <w14:schemeClr w14:val="tx1"/>
            </w14:solidFill>
          </w14:textFill>
        </w:rPr>
        <w:t>2020</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年版）等精神科诊疗规范，确保诊疗行为科学、合规；严禁任何形式的虐待、侮辱或强迫从事生产劳动，保障患者人格尊严。规范临床诊疗行为，强化医师依法执业意识。患者入院</w:t>
      </w:r>
      <w:r>
        <w:rPr>
          <w:rFonts w:hint="eastAsia" w:ascii="Times New Roman" w:hAnsi="Times New Roman" w:eastAsia="仿宋_GB2312" w:cs="仿宋_GB2312"/>
          <w:color w:val="000000" w:themeColor="text1"/>
          <w:spacing w:val="0"/>
          <w:w w:val="100"/>
          <w:kern w:val="0"/>
          <w:sz w:val="32"/>
          <w:szCs w:val="32"/>
          <w14:textFill>
            <w14:solidFill>
              <w14:schemeClr w14:val="tx1"/>
            </w14:solidFill>
          </w14:textFill>
        </w:rPr>
        <w:t>72</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小时内须完成上级医师查房，危急重症患者及时评估处置。合理控制医疗费用，规范使用医保基金。严禁虚记检查次数、虚构治疗项目，严禁诱导需求、过度医疗。加强院内安全管理与应急处置，健全突发事件应急处置预案，提升风险防范和应急处置能力。</w:t>
      </w:r>
    </w:p>
    <w:p w14:paraId="46B87617">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spacing w:val="0"/>
          <w:w w:val="100"/>
          <w:kern w:val="0"/>
          <w:sz w:val="32"/>
          <w:szCs w:val="32"/>
          <w14:textFill>
            <w14:solidFill>
              <w14:schemeClr w14:val="tx1"/>
            </w14:solidFill>
          </w14:textFill>
        </w:rPr>
      </w:pPr>
      <w:bookmarkStart w:id="21" w:name="heading_61"/>
      <w:bookmarkStart w:id="22" w:name="heading_29"/>
      <w:r>
        <w:rPr>
          <w:rFonts w:hint="eastAsia" w:ascii="黑体" w:hAnsi="黑体" w:eastAsia="黑体" w:cs="黑体"/>
          <w:color w:val="000000" w:themeColor="text1"/>
          <w:spacing w:val="0"/>
          <w:w w:val="100"/>
          <w:kern w:val="0"/>
          <w:sz w:val="32"/>
          <w:szCs w:val="32"/>
          <w14:textFill>
            <w14:solidFill>
              <w14:schemeClr w14:val="tx1"/>
            </w14:solidFill>
          </w14:textFill>
        </w:rPr>
        <w:t>八、护理级别管理</w:t>
      </w:r>
      <w:bookmarkEnd w:id="21"/>
    </w:p>
    <w:p w14:paraId="5A444A9D">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根据患者病情严重程度、风险等级、生活自理能力确定护理级别</w:t>
      </w:r>
      <w:r>
        <w:rPr>
          <w:rFonts w:hint="eastAsia" w:ascii="仿宋_GB2312" w:hAnsi="仿宋_GB2312" w:eastAsia="仿宋_GB2312" w:cs="仿宋_GB2312"/>
          <w:color w:val="000000" w:themeColor="text1"/>
          <w:spacing w:val="0"/>
          <w:w w:val="100"/>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护理级别调整需经医师评估确认</w:t>
      </w:r>
      <w:r>
        <w:rPr>
          <w:rFonts w:hint="eastAsia" w:ascii="仿宋_GB2312" w:hAnsi="仿宋_GB2312" w:eastAsia="仿宋_GB2312" w:cs="仿宋_GB2312"/>
          <w:color w:val="000000" w:themeColor="text1"/>
          <w:spacing w:val="0"/>
          <w:w w:val="100"/>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以保证患者人身安全。</w:t>
      </w:r>
    </w:p>
    <w:p w14:paraId="4BDA86A6">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（一）特级护理</w:t>
      </w:r>
    </w:p>
    <w:p w14:paraId="1F3AE2BB">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适用于有严重自伤自杀、伤人风险，或处于木僵状态、生活完全不能自理的患者。需</w:t>
      </w:r>
      <w:r>
        <w:rPr>
          <w:rFonts w:hint="eastAsia" w:ascii="Times New Roman" w:hAnsi="Times New Roman" w:eastAsia="仿宋_GB2312" w:cs="仿宋_GB2312"/>
          <w:color w:val="000000" w:themeColor="text1"/>
          <w:spacing w:val="0"/>
          <w:w w:val="100"/>
          <w:kern w:val="0"/>
          <w:sz w:val="32"/>
          <w:szCs w:val="32"/>
          <w14:textFill>
            <w14:solidFill>
              <w14:schemeClr w14:val="tx1"/>
            </w14:solidFill>
          </w14:textFill>
        </w:rPr>
        <w:t>24</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小时专人监护，密切观察病情变化，做好基础护理与安全防护。</w:t>
      </w:r>
    </w:p>
    <w:p w14:paraId="7EB0530F">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（二）一级护理</w:t>
      </w:r>
    </w:p>
    <w:p w14:paraId="528DCA50">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适用于症状较严重、生活部分不能自理，或存在一定自伤、伤人风险的患者。封闭病区每</w:t>
      </w:r>
      <w:r>
        <w:rPr>
          <w:rFonts w:hint="eastAsia" w:ascii="Times New Roman" w:hAnsi="Times New Roman" w:eastAsia="仿宋_GB2312" w:cs="仿宋_GB2312"/>
          <w:color w:val="000000" w:themeColor="text1"/>
          <w:spacing w:val="0"/>
          <w:w w:val="100"/>
          <w:kern w:val="0"/>
          <w:sz w:val="32"/>
          <w:szCs w:val="32"/>
          <w14:textFill>
            <w14:solidFill>
              <w14:schemeClr w14:val="tx1"/>
            </w14:solidFill>
          </w14:textFill>
        </w:rPr>
        <w:t>30</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分钟巡视一次，开放普通病房每</w:t>
      </w:r>
      <w:r>
        <w:rPr>
          <w:rFonts w:hint="eastAsia" w:ascii="Times New Roman" w:hAnsi="Times New Roman" w:eastAsia="仿宋_GB2312" w:cs="仿宋_GB2312"/>
          <w:color w:val="000000" w:themeColor="text1"/>
          <w:spacing w:val="0"/>
          <w:w w:val="100"/>
          <w:kern w:val="0"/>
          <w:sz w:val="32"/>
          <w:szCs w:val="32"/>
          <w:lang w:val="en-US"/>
          <w14:textFill>
            <w14:solidFill>
              <w14:schemeClr w14:val="tx1"/>
            </w14:solidFill>
          </w14:textFill>
        </w:rPr>
        <w:t>60</w:t>
      </w:r>
      <w:r>
        <w:rPr>
          <w:rFonts w:hint="eastAsia" w:ascii="仿宋_GB2312" w:hAnsi="仿宋_GB2312" w:eastAsia="仿宋_GB2312" w:cs="仿宋_GB2312"/>
          <w:color w:val="000000" w:themeColor="text1"/>
          <w:spacing w:val="0"/>
          <w:w w:val="100"/>
          <w:kern w:val="0"/>
          <w:sz w:val="32"/>
          <w:szCs w:val="32"/>
          <w:lang w:val="en-US"/>
          <w14:textFill>
            <w14:solidFill>
              <w14:schemeClr w14:val="tx1"/>
            </w14:solidFill>
          </w14:textFill>
        </w:rPr>
        <w:t>分钟</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巡视一次，协助患者完成生活护理，观察精神症状与药物不良反应。</w:t>
      </w:r>
    </w:p>
    <w:p w14:paraId="635804EA">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（三）二级护理</w:t>
      </w:r>
    </w:p>
    <w:p w14:paraId="1812FBB9">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适用于症状稳定、生活基本能自理的患者。每</w:t>
      </w:r>
      <w:r>
        <w:rPr>
          <w:rFonts w:hint="eastAsia" w:ascii="Times New Roman" w:hAnsi="Times New Roman" w:eastAsia="仿宋_GB2312" w:cs="仿宋_GB2312"/>
          <w:color w:val="000000" w:themeColor="text1"/>
          <w:spacing w:val="0"/>
          <w:w w:val="100"/>
          <w:kern w:val="0"/>
          <w:sz w:val="32"/>
          <w:szCs w:val="32"/>
          <w14:textFill>
            <w14:solidFill>
              <w14:schemeClr w14:val="tx1"/>
            </w14:solidFill>
          </w14:textFill>
        </w:rPr>
        <w:t>1</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w:t>
      </w:r>
      <w:r>
        <w:rPr>
          <w:rFonts w:hint="eastAsia" w:ascii="Times New Roman" w:hAnsi="Times New Roman" w:eastAsia="仿宋_GB2312" w:cs="仿宋_GB2312"/>
          <w:color w:val="000000" w:themeColor="text1"/>
          <w:spacing w:val="0"/>
          <w:w w:val="100"/>
          <w:kern w:val="0"/>
          <w:sz w:val="32"/>
          <w:szCs w:val="32"/>
          <w14:textFill>
            <w14:solidFill>
              <w14:schemeClr w14:val="tx1"/>
            </w14:solidFill>
          </w14:textFill>
        </w:rPr>
        <w:t>2</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小时巡视</w:t>
      </w:r>
      <w:r>
        <w:rPr>
          <w:rFonts w:hint="eastAsia" w:ascii="Times New Roman" w:hAnsi="Times New Roman" w:eastAsia="仿宋_GB2312" w:cs="仿宋_GB2312"/>
          <w:color w:val="000000" w:themeColor="text1"/>
          <w:spacing w:val="0"/>
          <w:w w:val="100"/>
          <w:kern w:val="0"/>
          <w:sz w:val="32"/>
          <w:szCs w:val="32"/>
          <w14:textFill>
            <w14:solidFill>
              <w14:schemeClr w14:val="tx1"/>
            </w14:solidFill>
          </w14:textFill>
        </w:rPr>
        <w:t>1</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次，观察病情变化，督促患者遵守病房规章制度，参与康复活动。</w:t>
      </w:r>
    </w:p>
    <w:p w14:paraId="2EF73036">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（四）三级护理</w:t>
      </w:r>
    </w:p>
    <w:p w14:paraId="12DE6982">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适用于症状缓解、病情稳定、生活完全能自理的恢复期患者。每日巡视至少</w:t>
      </w:r>
      <w:r>
        <w:rPr>
          <w:rFonts w:hint="eastAsia" w:ascii="Times New Roman" w:hAnsi="Times New Roman" w:eastAsia="仿宋_GB2312" w:cs="仿宋_GB2312"/>
          <w:color w:val="000000" w:themeColor="text1"/>
          <w:spacing w:val="0"/>
          <w:w w:val="100"/>
          <w:kern w:val="0"/>
          <w:sz w:val="32"/>
          <w:szCs w:val="32"/>
          <w14:textFill>
            <w14:solidFill>
              <w14:schemeClr w14:val="tx1"/>
            </w14:solidFill>
          </w14:textFill>
        </w:rPr>
        <w:t>2</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次，观察病情变化，开展健康教育和康复指导，为出院做准备。</w:t>
      </w:r>
    </w:p>
    <w:p w14:paraId="5654D0D7">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spacing w:val="0"/>
          <w:w w:val="100"/>
          <w:kern w:val="0"/>
          <w:sz w:val="32"/>
          <w:szCs w:val="32"/>
          <w14:textFill>
            <w14:solidFill>
              <w14:schemeClr w14:val="tx1"/>
            </w14:solidFill>
          </w14:textFill>
        </w:rPr>
      </w:pPr>
      <w:r>
        <w:rPr>
          <w:rFonts w:hint="eastAsia" w:ascii="黑体" w:hAnsi="黑体" w:eastAsia="黑体" w:cs="黑体"/>
          <w:color w:val="000000" w:themeColor="text1"/>
          <w:spacing w:val="0"/>
          <w:w w:val="100"/>
          <w:kern w:val="0"/>
          <w:sz w:val="32"/>
          <w:szCs w:val="32"/>
          <w14:textFill>
            <w14:solidFill>
              <w14:schemeClr w14:val="tx1"/>
            </w14:solidFill>
          </w14:textFill>
        </w:rPr>
        <w:t>九、保护性医疗措施使用规范</w:t>
      </w:r>
      <w:bookmarkEnd w:id="22"/>
    </w:p>
    <w:p w14:paraId="070CD8DA">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（一）使用原则</w:t>
      </w:r>
    </w:p>
    <w:p w14:paraId="3C0A5C3B">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精神障碍患者在医疗机构内发生或者将要发生伤害自身、危害他人安全、扰乱医疗秩序的行为，在没有其他可替代措施的情况下，可以实施约束、隔离等保护性医疗措施。保护性医疗措施应当遵循诊断标准和治疗规范。禁止利用约束、隔离等保护性医疗措施惩罚精神障碍患者。</w:t>
      </w:r>
    </w:p>
    <w:p w14:paraId="2905C546">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（二）决策与记录</w:t>
      </w:r>
    </w:p>
    <w:p w14:paraId="1F2D004A">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保护性约束或隔离需由执业医师评估后下达医嘱，明确起止时间。医疗机构及其医务人员应当在病历资料中如实记录精神障碍患者的病情、治疗措施、用药情况、实施约束、隔离措施等内容，并如实告知患者或者其监护人。护士执行后须在《保护性医疗措施记录单》上详细记录原因、方式、起止时间、患者状况及护理措施。上述病历资料及《保护性医疗措施记录单》应当纳入患者病历，归档保存。</w:t>
      </w:r>
    </w:p>
    <w:p w14:paraId="330DC1FB">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lang w:val="en-US" w:eastAsia="zh-CN"/>
          <w14:textFill>
            <w14:solidFill>
              <w14:schemeClr w14:val="tx1"/>
            </w14:solidFill>
          </w14:textFill>
        </w:rPr>
        <w:t>（三）</w:t>
      </w:r>
      <w:r>
        <w:rPr>
          <w:rFonts w:hint="eastAsia" w:ascii="楷体_GB2312" w:hAnsi="楷体_GB2312" w:eastAsia="楷体_GB2312" w:cs="楷体_GB2312"/>
          <w:color w:val="000000" w:themeColor="text1"/>
          <w:spacing w:val="0"/>
          <w:kern w:val="0"/>
          <w:sz w:val="32"/>
          <w:szCs w:val="32"/>
          <w14:textFill>
            <w14:solidFill>
              <w14:schemeClr w14:val="tx1"/>
            </w14:solidFill>
          </w14:textFill>
        </w:rPr>
        <w:t>监测与解除</w:t>
      </w:r>
    </w:p>
    <w:p w14:paraId="4C7458E2">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实施期间应当安排专门的医护人员进行监护，保障患者的基本生理需求。约束过程中，应至少每</w:t>
      </w:r>
      <w:r>
        <w:rPr>
          <w:rFonts w:hint="eastAsia" w:ascii="Times New Roman" w:hAnsi="Times New Roman" w:eastAsia="仿宋_GB2312" w:cs="仿宋_GB2312"/>
          <w:color w:val="000000" w:themeColor="text1"/>
          <w:spacing w:val="0"/>
          <w:w w:val="100"/>
          <w:kern w:val="0"/>
          <w:sz w:val="32"/>
          <w:szCs w:val="32"/>
          <w14:textFill>
            <w14:solidFill>
              <w14:schemeClr w14:val="tx1"/>
            </w14:solidFill>
          </w14:textFill>
        </w:rPr>
        <w:t>30</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分钟巡视一次，观察患者情绪状态、约束部位皮肤及肢体末梢血液循环情况，协助患者进行必要的肢体活动，如如厕、饮水等；约束或隔离房间应当环境安全、通风良好，室内无尖锐、易碎、可拆卸等危险物品，应至少每</w:t>
      </w:r>
      <w:r>
        <w:rPr>
          <w:rFonts w:hint="eastAsia" w:ascii="Times New Roman" w:hAnsi="Times New Roman" w:eastAsia="仿宋_GB2312" w:cs="仿宋_GB2312"/>
          <w:color w:val="000000" w:themeColor="text1"/>
          <w:spacing w:val="0"/>
          <w:w w:val="100"/>
          <w:kern w:val="0"/>
          <w:sz w:val="32"/>
          <w:szCs w:val="32"/>
          <w14:textFill>
            <w14:solidFill>
              <w14:schemeClr w14:val="tx1"/>
            </w14:solidFill>
          </w14:textFill>
        </w:rPr>
        <w:t>4</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小时对患者进行系统的躯体状况评估，包括生命体征、意识状态、饮食、饮水、排尿、排便情况、皮肤完整性、肢体活动度等，发现异常应及时报告医师并处理。一次约束医嘱的有效时间，白天（上午</w:t>
      </w:r>
      <w:r>
        <w:rPr>
          <w:rFonts w:hint="eastAsia" w:ascii="Times New Roman" w:hAnsi="Times New Roman" w:eastAsia="仿宋_GB2312" w:cs="仿宋_GB2312"/>
          <w:color w:val="000000" w:themeColor="text1"/>
          <w:spacing w:val="0"/>
          <w:w w:val="100"/>
          <w:kern w:val="0"/>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时至晚</w:t>
      </w:r>
      <w:r>
        <w:rPr>
          <w:rFonts w:hint="eastAsia" w:ascii="Times New Roman" w:hAnsi="Times New Roman" w:eastAsia="仿宋_GB2312" w:cs="仿宋_GB2312"/>
          <w:color w:val="000000" w:themeColor="text1"/>
          <w:spacing w:val="0"/>
          <w:w w:val="100"/>
          <w:kern w:val="0"/>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时）一般不超过</w:t>
      </w:r>
      <w:r>
        <w:rPr>
          <w:rFonts w:hint="eastAsia" w:ascii="Times New Roman" w:hAnsi="Times New Roman" w:eastAsia="仿宋_GB2312" w:cs="仿宋_GB2312"/>
          <w:color w:val="000000" w:themeColor="text1"/>
          <w:spacing w:val="0"/>
          <w:w w:val="100"/>
          <w:kern w:val="0"/>
          <w:sz w:val="32"/>
          <w:szCs w:val="32"/>
          <w14:textFill>
            <w14:solidFill>
              <w14:schemeClr w14:val="tx1"/>
            </w14:solidFill>
          </w14:textFill>
        </w:rPr>
        <w:t>4</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小时，夜间（晚</w:t>
      </w:r>
      <w:r>
        <w:rPr>
          <w:rFonts w:hint="eastAsia" w:ascii="Times New Roman" w:hAnsi="Times New Roman" w:eastAsia="仿宋_GB2312" w:cs="仿宋_GB2312"/>
          <w:color w:val="000000" w:themeColor="text1"/>
          <w:spacing w:val="0"/>
          <w:w w:val="100"/>
          <w:kern w:val="0"/>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时至次日上午</w:t>
      </w:r>
      <w:r>
        <w:rPr>
          <w:rFonts w:hint="eastAsia" w:ascii="Times New Roman" w:hAnsi="Times New Roman" w:eastAsia="仿宋_GB2312" w:cs="仿宋_GB2312"/>
          <w:color w:val="000000" w:themeColor="text1"/>
          <w:spacing w:val="0"/>
          <w:w w:val="100"/>
          <w:kern w:val="0"/>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时）一般不超过</w:t>
      </w:r>
      <w:r>
        <w:rPr>
          <w:rFonts w:hint="eastAsia" w:ascii="Times New Roman" w:hAnsi="Times New Roman" w:eastAsia="仿宋_GB2312" w:cs="仿宋_GB2312"/>
          <w:color w:val="000000" w:themeColor="text1"/>
          <w:spacing w:val="0"/>
          <w:w w:val="100"/>
          <w:kern w:val="0"/>
          <w:sz w:val="32"/>
          <w:szCs w:val="32"/>
          <w:lang w:val="en-US" w:eastAsia="zh-CN"/>
          <w14:textFill>
            <w14:solidFill>
              <w14:schemeClr w14:val="tx1"/>
            </w14:solidFill>
          </w14:textFill>
        </w:rPr>
        <w:t>12</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小时。患者被连续约束满</w:t>
      </w:r>
      <w:r>
        <w:rPr>
          <w:rFonts w:hint="eastAsia" w:ascii="Times New Roman" w:hAnsi="Times New Roman" w:eastAsia="仿宋_GB2312" w:cs="仿宋_GB2312"/>
          <w:color w:val="000000" w:themeColor="text1"/>
          <w:spacing w:val="0"/>
          <w:w w:val="100"/>
          <w:kern w:val="0"/>
          <w:sz w:val="32"/>
          <w:szCs w:val="32"/>
          <w:lang w:val="en-US" w:eastAsia="zh-CN"/>
          <w14:textFill>
            <w14:solidFill>
              <w14:schemeClr w14:val="tx1"/>
            </w14:solidFill>
          </w14:textFill>
        </w:rPr>
        <w:t>48</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小时的，应当由科主任或者高年资主治及以上职称的精神科执业医师进行检查，对是否需要继续约束作出评估；需继续约束的，应当重新开具约束医嘱。一旦约束或隔离的条件不再存在，应当立即解除约束或隔离。</w:t>
      </w:r>
    </w:p>
    <w:p w14:paraId="20623F79">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spacing w:val="0"/>
          <w:w w:val="100"/>
          <w:kern w:val="0"/>
          <w:sz w:val="32"/>
          <w:szCs w:val="32"/>
          <w14:textFill>
            <w14:solidFill>
              <w14:schemeClr w14:val="tx1"/>
            </w14:solidFill>
          </w14:textFill>
        </w:rPr>
      </w:pPr>
      <w:bookmarkStart w:id="23" w:name="heading_30"/>
      <w:r>
        <w:rPr>
          <w:rFonts w:hint="eastAsia" w:ascii="黑体" w:hAnsi="黑体" w:eastAsia="黑体" w:cs="黑体"/>
          <w:color w:val="000000" w:themeColor="text1"/>
          <w:spacing w:val="0"/>
          <w:w w:val="100"/>
          <w:kern w:val="0"/>
          <w:sz w:val="32"/>
          <w:szCs w:val="32"/>
          <w14:textFill>
            <w14:solidFill>
              <w14:schemeClr w14:val="tx1"/>
            </w14:solidFill>
          </w14:textFill>
        </w:rPr>
        <w:t>十、患者权益保障</w:t>
      </w:r>
      <w:bookmarkEnd w:id="23"/>
    </w:p>
    <w:p w14:paraId="77AA97B7">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（一）患者基本权益</w:t>
      </w:r>
    </w:p>
    <w:p w14:paraId="4E3AF285">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保障患者人格尊严不受侵犯。保障患者正常的通讯权和探视权，机构应为患者通讯和会见监护人、近亲属等提供便利；除在急性发病期或者为了避免妨碍治疗可以暂时性限制外，不得限制患者的通讯和会见探访者等权利。确因患者处于急性发病期或为避免妨碍治疗，需暂时性限制通讯、探视的，由医师评估后依规实施，同步将处置依据、管控时长告知患者及监护人。</w:t>
      </w:r>
    </w:p>
    <w:p w14:paraId="04B9ECAF">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lang w:val="en-US" w:eastAsia="zh-CN"/>
          <w14:textFill>
            <w14:solidFill>
              <w14:schemeClr w14:val="tx1"/>
            </w14:solidFill>
          </w14:textFill>
        </w:rPr>
        <w:t>（二）</w:t>
      </w:r>
      <w:r>
        <w:rPr>
          <w:rFonts w:hint="eastAsia" w:ascii="楷体_GB2312" w:hAnsi="楷体_GB2312" w:eastAsia="楷体_GB2312" w:cs="楷体_GB2312"/>
          <w:color w:val="000000" w:themeColor="text1"/>
          <w:spacing w:val="0"/>
          <w:kern w:val="0"/>
          <w:sz w:val="32"/>
          <w:szCs w:val="32"/>
          <w14:textFill>
            <w14:solidFill>
              <w14:schemeClr w14:val="tx1"/>
            </w14:solidFill>
          </w14:textFill>
        </w:rPr>
        <w:t>医患沟通制度</w:t>
      </w:r>
    </w:p>
    <w:p w14:paraId="38A2673E">
      <w:pPr>
        <w:keepNext w:val="0"/>
        <w:keepLines w:val="0"/>
        <w:pageBreakBefore w:val="0"/>
        <w:widowControl w:val="0"/>
        <w:numPr>
          <w:ilvl w:val="0"/>
          <w:numId w:val="0"/>
        </w:numPr>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lang w:val="en-US" w:eastAsia="zh-CN" w:bidi="ar-SA"/>
          <w14:textFill>
            <w14:solidFill>
              <w14:schemeClr w14:val="tx1"/>
            </w14:solidFill>
          </w14:textFill>
        </w:rPr>
        <w:t>（</w:t>
      </w:r>
      <w:r>
        <w:rPr>
          <w:rFonts w:hint="eastAsia" w:ascii="Times New Roman" w:hAnsi="Times New Roman" w:eastAsia="仿宋_GB2312" w:cs="仿宋_GB2312"/>
          <w:color w:val="000000" w:themeColor="text1"/>
          <w:spacing w:val="0"/>
          <w:w w:val="100"/>
          <w:kern w:val="0"/>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spacing w:val="0"/>
          <w:w w:val="100"/>
          <w:kern w:val="0"/>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沟通对象</w:t>
      </w:r>
    </w:p>
    <w:p w14:paraId="243C0A61">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包括患者本人、法定监护人及授权委托人。</w:t>
      </w:r>
    </w:p>
    <w:p w14:paraId="5A80C303">
      <w:pPr>
        <w:keepNext w:val="0"/>
        <w:keepLines w:val="0"/>
        <w:pageBreakBefore w:val="0"/>
        <w:widowControl w:val="0"/>
        <w:numPr>
          <w:ilvl w:val="0"/>
          <w:numId w:val="0"/>
        </w:numPr>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lang w:val="en-US" w:eastAsia="zh-CN" w:bidi="ar-SA"/>
          <w14:textFill>
            <w14:solidFill>
              <w14:schemeClr w14:val="tx1"/>
            </w14:solidFill>
          </w14:textFill>
        </w:rPr>
        <w:t>（</w:t>
      </w:r>
      <w:r>
        <w:rPr>
          <w:rFonts w:hint="eastAsia" w:ascii="Times New Roman" w:hAnsi="Times New Roman" w:eastAsia="仿宋_GB2312" w:cs="仿宋_GB2312"/>
          <w:color w:val="000000" w:themeColor="text1"/>
          <w:spacing w:val="0"/>
          <w:w w:val="100"/>
          <w:kern w:val="0"/>
          <w:sz w:val="32"/>
          <w:szCs w:val="32"/>
          <w:lang w:val="en-US" w:eastAsia="zh-CN" w:bidi="ar-SA"/>
          <w14:textFill>
            <w14:solidFill>
              <w14:schemeClr w14:val="tx1"/>
            </w14:solidFill>
          </w14:textFill>
        </w:rPr>
        <w:t>2</w:t>
      </w:r>
      <w:r>
        <w:rPr>
          <w:rFonts w:hint="eastAsia" w:ascii="仿宋_GB2312" w:hAnsi="仿宋_GB2312" w:eastAsia="仿宋_GB2312" w:cs="仿宋_GB2312"/>
          <w:color w:val="000000" w:themeColor="text1"/>
          <w:spacing w:val="0"/>
          <w:w w:val="100"/>
          <w:kern w:val="0"/>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沟通类型</w:t>
      </w:r>
    </w:p>
    <w:p w14:paraId="23F6006C">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包括病情告知、治疗告知、知情同意、风险告知、费用告知等。</w:t>
      </w:r>
    </w:p>
    <w:p w14:paraId="0D72026D">
      <w:pPr>
        <w:keepNext w:val="0"/>
        <w:keepLines w:val="0"/>
        <w:pageBreakBefore w:val="0"/>
        <w:widowControl w:val="0"/>
        <w:numPr>
          <w:ilvl w:val="0"/>
          <w:numId w:val="0"/>
        </w:numPr>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lang w:val="en-US" w:eastAsia="zh-CN" w:bidi="ar-SA"/>
          <w14:textFill>
            <w14:solidFill>
              <w14:schemeClr w14:val="tx1"/>
            </w14:solidFill>
          </w14:textFill>
        </w:rPr>
        <w:t>（</w:t>
      </w:r>
      <w:r>
        <w:rPr>
          <w:rFonts w:hint="eastAsia" w:ascii="Times New Roman" w:hAnsi="Times New Roman" w:eastAsia="仿宋_GB2312" w:cs="仿宋_GB2312"/>
          <w:color w:val="000000" w:themeColor="text1"/>
          <w:spacing w:val="0"/>
          <w:w w:val="100"/>
          <w:kern w:val="0"/>
          <w:sz w:val="32"/>
          <w:szCs w:val="32"/>
          <w:lang w:val="en-US" w:eastAsia="zh-CN" w:bidi="ar-SA"/>
          <w14:textFill>
            <w14:solidFill>
              <w14:schemeClr w14:val="tx1"/>
            </w14:solidFill>
          </w14:textFill>
        </w:rPr>
        <w:t>3</w:t>
      </w:r>
      <w:r>
        <w:rPr>
          <w:rFonts w:hint="eastAsia" w:ascii="仿宋_GB2312" w:hAnsi="仿宋_GB2312" w:eastAsia="仿宋_GB2312" w:cs="仿宋_GB2312"/>
          <w:color w:val="000000" w:themeColor="text1"/>
          <w:spacing w:val="0"/>
          <w:w w:val="100"/>
          <w:kern w:val="0"/>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沟通阶段</w:t>
      </w:r>
    </w:p>
    <w:p w14:paraId="58EAAABF">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覆盖门急诊、入院时、住院期间、出院前等全流程。</w:t>
      </w:r>
    </w:p>
    <w:p w14:paraId="3F622FB8">
      <w:pPr>
        <w:keepNext w:val="0"/>
        <w:keepLines w:val="0"/>
        <w:pageBreakBefore w:val="0"/>
        <w:widowControl w:val="0"/>
        <w:numPr>
          <w:ilvl w:val="0"/>
          <w:numId w:val="0"/>
        </w:numPr>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lang w:val="en-US" w:eastAsia="zh-CN" w:bidi="ar-SA"/>
          <w14:textFill>
            <w14:solidFill>
              <w14:schemeClr w14:val="tx1"/>
            </w14:solidFill>
          </w14:textFill>
        </w:rPr>
        <w:t>（</w:t>
      </w:r>
      <w:r>
        <w:rPr>
          <w:rFonts w:hint="eastAsia" w:ascii="Times New Roman" w:hAnsi="Times New Roman" w:eastAsia="仿宋_GB2312" w:cs="仿宋_GB2312"/>
          <w:color w:val="000000" w:themeColor="text1"/>
          <w:spacing w:val="0"/>
          <w:w w:val="100"/>
          <w:kern w:val="0"/>
          <w:sz w:val="32"/>
          <w:szCs w:val="32"/>
          <w:lang w:val="en-US" w:eastAsia="zh-CN" w:bidi="ar-SA"/>
          <w14:textFill>
            <w14:solidFill>
              <w14:schemeClr w14:val="tx1"/>
            </w14:solidFill>
          </w14:textFill>
        </w:rPr>
        <w:t>4</w:t>
      </w:r>
      <w:r>
        <w:rPr>
          <w:rFonts w:hint="eastAsia" w:ascii="仿宋_GB2312" w:hAnsi="仿宋_GB2312" w:eastAsia="仿宋_GB2312" w:cs="仿宋_GB2312"/>
          <w:color w:val="000000" w:themeColor="text1"/>
          <w:spacing w:val="0"/>
          <w:w w:val="100"/>
          <w:kern w:val="0"/>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沟通要求</w:t>
      </w:r>
    </w:p>
    <w:p w14:paraId="5E9B6702">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主动热情礼貌，避免专业术语，根据患者文化程度采取不同沟通方式，避免刺激患者情绪。</w:t>
      </w:r>
    </w:p>
    <w:p w14:paraId="1F43E2F9">
      <w:pPr>
        <w:keepNext w:val="0"/>
        <w:keepLines w:val="0"/>
        <w:pageBreakBefore w:val="0"/>
        <w:widowControl w:val="0"/>
        <w:numPr>
          <w:ilvl w:val="0"/>
          <w:numId w:val="0"/>
        </w:numPr>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lang w:val="en-US" w:eastAsia="zh-CN" w:bidi="ar-SA"/>
          <w14:textFill>
            <w14:solidFill>
              <w14:schemeClr w14:val="tx1"/>
            </w14:solidFill>
          </w14:textFill>
        </w:rPr>
        <w:t>（</w:t>
      </w:r>
      <w:r>
        <w:rPr>
          <w:rFonts w:hint="eastAsia" w:ascii="Times New Roman" w:hAnsi="Times New Roman" w:eastAsia="仿宋_GB2312" w:cs="仿宋_GB2312"/>
          <w:color w:val="000000" w:themeColor="text1"/>
          <w:spacing w:val="0"/>
          <w:w w:val="100"/>
          <w:kern w:val="0"/>
          <w:sz w:val="32"/>
          <w:szCs w:val="32"/>
          <w:lang w:val="en-US" w:eastAsia="zh-CN" w:bidi="ar-SA"/>
          <w14:textFill>
            <w14:solidFill>
              <w14:schemeClr w14:val="tx1"/>
            </w14:solidFill>
          </w14:textFill>
        </w:rPr>
        <w:t>5</w:t>
      </w:r>
      <w:r>
        <w:rPr>
          <w:rFonts w:hint="eastAsia" w:ascii="仿宋_GB2312" w:hAnsi="仿宋_GB2312" w:eastAsia="仿宋_GB2312" w:cs="仿宋_GB2312"/>
          <w:color w:val="000000" w:themeColor="text1"/>
          <w:spacing w:val="0"/>
          <w:w w:val="100"/>
          <w:kern w:val="0"/>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分级沟通</w:t>
      </w:r>
    </w:p>
    <w:p w14:paraId="00E453D5">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普通疾病由责任医师护士沟通；疑难危重患者由病区主任沟通；治疗风险大、效果不佳的患者由科主任主持全科会诊后共同沟通。</w:t>
      </w:r>
    </w:p>
    <w:p w14:paraId="036EE852">
      <w:pPr>
        <w:keepNext w:val="0"/>
        <w:keepLines w:val="0"/>
        <w:pageBreakBefore w:val="0"/>
        <w:widowControl w:val="0"/>
        <w:numPr>
          <w:ilvl w:val="0"/>
          <w:numId w:val="0"/>
        </w:numPr>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lang w:val="en-US" w:eastAsia="zh-CN" w:bidi="ar-SA"/>
          <w14:textFill>
            <w14:solidFill>
              <w14:schemeClr w14:val="tx1"/>
            </w14:solidFill>
          </w14:textFill>
        </w:rPr>
        <w:t>（</w:t>
      </w:r>
      <w:r>
        <w:rPr>
          <w:rFonts w:hint="eastAsia" w:ascii="Times New Roman" w:hAnsi="Times New Roman" w:eastAsia="仿宋_GB2312" w:cs="仿宋_GB2312"/>
          <w:color w:val="000000" w:themeColor="text1"/>
          <w:spacing w:val="0"/>
          <w:w w:val="100"/>
          <w:kern w:val="0"/>
          <w:sz w:val="32"/>
          <w:szCs w:val="32"/>
          <w:lang w:val="en-US" w:eastAsia="zh-CN" w:bidi="ar-SA"/>
          <w14:textFill>
            <w14:solidFill>
              <w14:schemeClr w14:val="tx1"/>
            </w14:solidFill>
          </w14:textFill>
        </w:rPr>
        <w:t>6</w:t>
      </w:r>
      <w:r>
        <w:rPr>
          <w:rFonts w:hint="eastAsia" w:ascii="仿宋_GB2312" w:hAnsi="仿宋_GB2312" w:eastAsia="仿宋_GB2312" w:cs="仿宋_GB2312"/>
          <w:color w:val="000000" w:themeColor="text1"/>
          <w:spacing w:val="0"/>
          <w:w w:val="100"/>
          <w:kern w:val="0"/>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记录要求</w:t>
      </w:r>
    </w:p>
    <w:p w14:paraId="76716FAC">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每次沟通都应在病历中有相应的记录，必要时患方签署意见并签名。</w:t>
      </w:r>
    </w:p>
    <w:p w14:paraId="3E5E0470">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lang w:val="en-US" w:eastAsia="zh-CN"/>
          <w14:textFill>
            <w14:solidFill>
              <w14:schemeClr w14:val="tx1"/>
            </w14:solidFill>
          </w14:textFill>
        </w:rPr>
        <w:t>（三）</w:t>
      </w:r>
      <w:r>
        <w:rPr>
          <w:rFonts w:hint="eastAsia" w:ascii="楷体_GB2312" w:hAnsi="楷体_GB2312" w:eastAsia="楷体_GB2312" w:cs="楷体_GB2312"/>
          <w:color w:val="000000" w:themeColor="text1"/>
          <w:spacing w:val="0"/>
          <w:kern w:val="0"/>
          <w:sz w:val="32"/>
          <w:szCs w:val="32"/>
          <w14:textFill>
            <w14:solidFill>
              <w14:schemeClr w14:val="tx1"/>
            </w14:solidFill>
          </w14:textFill>
        </w:rPr>
        <w:t>知情同意制度</w:t>
      </w:r>
    </w:p>
    <w:p w14:paraId="776E59D4">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根据《中华人民共和国精神卫生法》相关规定，患者或监护人对病情、诊断、医疗措施和医疗风险等享有知情选择的权利。</w:t>
      </w:r>
    </w:p>
    <w:p w14:paraId="01D71E8B">
      <w:pPr>
        <w:keepNext w:val="0"/>
        <w:keepLines w:val="0"/>
        <w:pageBreakBefore w:val="0"/>
        <w:widowControl w:val="0"/>
        <w:numPr>
          <w:ilvl w:val="0"/>
          <w:numId w:val="0"/>
        </w:numPr>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lang w:val="en-US" w:eastAsia="zh-CN" w:bidi="ar-SA"/>
          <w14:textFill>
            <w14:solidFill>
              <w14:schemeClr w14:val="tx1"/>
            </w14:solidFill>
          </w14:textFill>
        </w:rPr>
        <w:t>（</w:t>
      </w:r>
      <w:r>
        <w:rPr>
          <w:rFonts w:hint="eastAsia" w:ascii="Times New Roman" w:hAnsi="Times New Roman" w:eastAsia="仿宋_GB2312" w:cs="仿宋_GB2312"/>
          <w:color w:val="000000" w:themeColor="text1"/>
          <w:spacing w:val="0"/>
          <w:w w:val="100"/>
          <w:kern w:val="0"/>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spacing w:val="0"/>
          <w:w w:val="100"/>
          <w:kern w:val="0"/>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自愿住院</w:t>
      </w:r>
    </w:p>
    <w:p w14:paraId="7D97A188">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由患者本人和／或法定监护人签署《自愿住院治疗患者声明》（详见附表</w:t>
      </w:r>
      <w:r>
        <w:rPr>
          <w:rFonts w:hint="eastAsia" w:ascii="Times New Roman" w:hAnsi="Times New Roman" w:eastAsia="仿宋_GB2312" w:cs="仿宋_GB2312"/>
          <w:color w:val="000000" w:themeColor="text1"/>
          <w:spacing w:val="0"/>
          <w:w w:val="100"/>
          <w:kern w:val="0"/>
          <w:sz w:val="32"/>
          <w:szCs w:val="32"/>
          <w14:textFill>
            <w14:solidFill>
              <w14:schemeClr w14:val="tx1"/>
            </w14:solidFill>
          </w14:textFill>
        </w:rPr>
        <w:t>2</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w:t>
      </w:r>
    </w:p>
    <w:p w14:paraId="6342677F">
      <w:pPr>
        <w:keepNext w:val="0"/>
        <w:keepLines w:val="0"/>
        <w:pageBreakBefore w:val="0"/>
        <w:widowControl w:val="0"/>
        <w:numPr>
          <w:ilvl w:val="0"/>
          <w:numId w:val="0"/>
        </w:numPr>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lang w:val="en-US" w:eastAsia="zh-CN" w:bidi="ar-SA"/>
          <w14:textFill>
            <w14:solidFill>
              <w14:schemeClr w14:val="tx1"/>
            </w14:solidFill>
          </w14:textFill>
        </w:rPr>
        <w:t>（</w:t>
      </w:r>
      <w:r>
        <w:rPr>
          <w:rFonts w:hint="eastAsia" w:ascii="Times New Roman" w:hAnsi="Times New Roman" w:eastAsia="仿宋_GB2312" w:cs="仿宋_GB2312"/>
          <w:color w:val="000000" w:themeColor="text1"/>
          <w:spacing w:val="0"/>
          <w:w w:val="100"/>
          <w:kern w:val="0"/>
          <w:sz w:val="32"/>
          <w:szCs w:val="32"/>
          <w:lang w:val="en-US" w:eastAsia="zh-CN" w:bidi="ar-SA"/>
          <w14:textFill>
            <w14:solidFill>
              <w14:schemeClr w14:val="tx1"/>
            </w14:solidFill>
          </w14:textFill>
        </w:rPr>
        <w:t>2</w:t>
      </w:r>
      <w:r>
        <w:rPr>
          <w:rFonts w:hint="eastAsia" w:ascii="仿宋_GB2312" w:hAnsi="仿宋_GB2312" w:eastAsia="仿宋_GB2312" w:cs="仿宋_GB2312"/>
          <w:color w:val="000000" w:themeColor="text1"/>
          <w:spacing w:val="0"/>
          <w:w w:val="100"/>
          <w:kern w:val="0"/>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非自愿住院</w:t>
      </w:r>
    </w:p>
    <w:p w14:paraId="4DFF06A8">
      <w:pPr>
        <w:keepNext w:val="0"/>
        <w:keepLines w:val="0"/>
        <w:pageBreakBefore w:val="0"/>
        <w:widowControl w:val="0"/>
        <w:kinsoku/>
        <w:wordWrap/>
        <w:overflowPunct/>
        <w:topLinePunct w:val="0"/>
        <w:autoSpaceDE/>
        <w:autoSpaceDN/>
        <w:bidi w:val="0"/>
        <w:adjustRightInd/>
        <w:snapToGrid/>
        <w:spacing w:line="586" w:lineRule="exact"/>
        <w:ind w:firstLine="62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97"/>
          <w:kern w:val="0"/>
          <w:sz w:val="32"/>
          <w:szCs w:val="32"/>
          <w:fitText w:val="8000" w:id="458560366"/>
          <w14:textFill>
            <w14:solidFill>
              <w14:schemeClr w14:val="tx1"/>
            </w14:solidFill>
          </w14:textFill>
        </w:rPr>
        <w:t>签订《非自愿住院治疗入院知情同意书》（详见附表</w:t>
      </w:r>
      <w:r>
        <w:rPr>
          <w:rFonts w:hint="eastAsia" w:ascii="Times New Roman" w:hAnsi="Times New Roman" w:eastAsia="仿宋_GB2312" w:cs="仿宋_GB2312"/>
          <w:color w:val="000000" w:themeColor="text1"/>
          <w:spacing w:val="0"/>
          <w:w w:val="97"/>
          <w:kern w:val="0"/>
          <w:sz w:val="32"/>
          <w:szCs w:val="32"/>
          <w:fitText w:val="8000" w:id="458560366"/>
          <w14:textFill>
            <w14:solidFill>
              <w14:schemeClr w14:val="tx1"/>
            </w14:solidFill>
          </w14:textFill>
        </w:rPr>
        <w:t>3</w:t>
      </w:r>
      <w:r>
        <w:rPr>
          <w:rFonts w:hint="eastAsia" w:ascii="仿宋_GB2312" w:hAnsi="仿宋_GB2312" w:eastAsia="仿宋_GB2312" w:cs="仿宋_GB2312"/>
          <w:color w:val="000000" w:themeColor="text1"/>
          <w:spacing w:val="0"/>
          <w:w w:val="97"/>
          <w:kern w:val="0"/>
          <w:sz w:val="32"/>
          <w:szCs w:val="32"/>
          <w:fitText w:val="8000" w:id="458560366"/>
          <w14:textFill>
            <w14:solidFill>
              <w14:schemeClr w14:val="tx1"/>
            </w14:solidFill>
          </w14:textFill>
        </w:rPr>
        <w:t>）</w:t>
      </w:r>
      <w:r>
        <w:rPr>
          <w:rFonts w:hint="eastAsia" w:ascii="仿宋_GB2312" w:hAnsi="仿宋_GB2312" w:eastAsia="仿宋_GB2312" w:cs="仿宋_GB2312"/>
          <w:color w:val="000000" w:themeColor="text1"/>
          <w:spacing w:val="8"/>
          <w:w w:val="97"/>
          <w:kern w:val="0"/>
          <w:sz w:val="32"/>
          <w:szCs w:val="32"/>
          <w:fitText w:val="8000" w:id="458560366"/>
          <w14:textFill>
            <w14:solidFill>
              <w14:schemeClr w14:val="tx1"/>
            </w14:solidFill>
          </w14:textFill>
        </w:rPr>
        <w:t>。</w:t>
      </w:r>
    </w:p>
    <w:p w14:paraId="4DA0E375">
      <w:pPr>
        <w:keepNext w:val="0"/>
        <w:keepLines w:val="0"/>
        <w:pageBreakBefore w:val="0"/>
        <w:widowControl w:val="0"/>
        <w:numPr>
          <w:ilvl w:val="0"/>
          <w:numId w:val="0"/>
        </w:numPr>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lang w:val="en-US" w:eastAsia="zh-CN" w:bidi="ar-SA"/>
          <w14:textFill>
            <w14:solidFill>
              <w14:schemeClr w14:val="tx1"/>
            </w14:solidFill>
          </w14:textFill>
        </w:rPr>
        <w:t>（</w:t>
      </w:r>
      <w:r>
        <w:rPr>
          <w:rFonts w:hint="eastAsia" w:ascii="Times New Roman" w:hAnsi="Times New Roman" w:eastAsia="仿宋_GB2312" w:cs="仿宋_GB2312"/>
          <w:color w:val="000000" w:themeColor="text1"/>
          <w:spacing w:val="0"/>
          <w:w w:val="100"/>
          <w:kern w:val="0"/>
          <w:sz w:val="32"/>
          <w:szCs w:val="32"/>
          <w:lang w:val="en-US" w:eastAsia="zh-CN" w:bidi="ar-SA"/>
          <w14:textFill>
            <w14:solidFill>
              <w14:schemeClr w14:val="tx1"/>
            </w14:solidFill>
          </w14:textFill>
        </w:rPr>
        <w:t>3</w:t>
      </w:r>
      <w:r>
        <w:rPr>
          <w:rFonts w:hint="eastAsia" w:ascii="仿宋_GB2312" w:hAnsi="仿宋_GB2312" w:eastAsia="仿宋_GB2312" w:cs="仿宋_GB2312"/>
          <w:color w:val="000000" w:themeColor="text1"/>
          <w:spacing w:val="0"/>
          <w:w w:val="100"/>
          <w:kern w:val="0"/>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疑似精神障碍住院观察</w:t>
      </w:r>
    </w:p>
    <w:p w14:paraId="5836F12C">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签订《疑似精神障碍患者紧急住院观察入院告知书》（详见附表</w:t>
      </w:r>
      <w:r>
        <w:rPr>
          <w:rFonts w:hint="eastAsia" w:ascii="Times New Roman" w:hAnsi="Times New Roman" w:eastAsia="仿宋_GB2312" w:cs="仿宋_GB2312"/>
          <w:color w:val="000000" w:themeColor="text1"/>
          <w:spacing w:val="0"/>
          <w:w w:val="100"/>
          <w:kern w:val="0"/>
          <w:sz w:val="32"/>
          <w:szCs w:val="32"/>
          <w14:textFill>
            <w14:solidFill>
              <w14:schemeClr w14:val="tx1"/>
            </w14:solidFill>
          </w14:textFill>
        </w:rPr>
        <w:t>7</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w:t>
      </w:r>
    </w:p>
    <w:p w14:paraId="4141FE9F">
      <w:pPr>
        <w:keepNext w:val="0"/>
        <w:keepLines w:val="0"/>
        <w:pageBreakBefore w:val="0"/>
        <w:widowControl w:val="0"/>
        <w:numPr>
          <w:ilvl w:val="0"/>
          <w:numId w:val="0"/>
        </w:numPr>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lang w:val="en-US" w:eastAsia="zh-CN" w:bidi="ar-SA"/>
          <w14:textFill>
            <w14:solidFill>
              <w14:schemeClr w14:val="tx1"/>
            </w14:solidFill>
          </w14:textFill>
        </w:rPr>
        <w:t>（</w:t>
      </w:r>
      <w:r>
        <w:rPr>
          <w:rFonts w:hint="eastAsia" w:ascii="Times New Roman" w:hAnsi="Times New Roman" w:eastAsia="仿宋_GB2312" w:cs="仿宋_GB2312"/>
          <w:color w:val="000000" w:themeColor="text1"/>
          <w:spacing w:val="0"/>
          <w:w w:val="100"/>
          <w:kern w:val="0"/>
          <w:sz w:val="32"/>
          <w:szCs w:val="32"/>
          <w:lang w:val="en-US" w:eastAsia="zh-CN" w:bidi="ar-SA"/>
          <w14:textFill>
            <w14:solidFill>
              <w14:schemeClr w14:val="tx1"/>
            </w14:solidFill>
          </w14:textFill>
        </w:rPr>
        <w:t>4</w:t>
      </w:r>
      <w:r>
        <w:rPr>
          <w:rFonts w:hint="eastAsia" w:ascii="仿宋_GB2312" w:hAnsi="仿宋_GB2312" w:eastAsia="仿宋_GB2312" w:cs="仿宋_GB2312"/>
          <w:color w:val="000000" w:themeColor="text1"/>
          <w:spacing w:val="0"/>
          <w:w w:val="100"/>
          <w:kern w:val="0"/>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特殊治疗及处置</w:t>
      </w:r>
    </w:p>
    <w:p w14:paraId="7CCCC9DF">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特殊治疗及处置应及时说明情况并取得书面同意，包括但不限于特殊药物治疗、物理治疗（如</w:t>
      </w:r>
      <w:r>
        <w:rPr>
          <w:rFonts w:hint="eastAsia" w:ascii="Times New Roman" w:hAnsi="Times New Roman" w:eastAsia="仿宋_GB2312" w:cs="仿宋_GB2312"/>
          <w:color w:val="000000" w:themeColor="text1"/>
          <w:spacing w:val="0"/>
          <w:w w:val="100"/>
          <w:kern w:val="0"/>
          <w:sz w:val="32"/>
          <w:szCs w:val="32"/>
          <w14:textFill>
            <w14:solidFill>
              <w14:schemeClr w14:val="tx1"/>
            </w14:solidFill>
          </w14:textFill>
        </w:rPr>
        <w:t>MECT</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）、约束隔离（详见附表</w:t>
      </w:r>
      <w:r>
        <w:rPr>
          <w:rFonts w:hint="eastAsia" w:ascii="Times New Roman" w:hAnsi="Times New Roman" w:eastAsia="仿宋_GB2312" w:cs="仿宋_GB2312"/>
          <w:color w:val="000000" w:themeColor="text1"/>
          <w:spacing w:val="0"/>
          <w:w w:val="100"/>
          <w:kern w:val="0"/>
          <w:sz w:val="32"/>
          <w:szCs w:val="32"/>
          <w14:textFill>
            <w14:solidFill>
              <w14:schemeClr w14:val="tx1"/>
            </w14:solidFill>
          </w14:textFill>
        </w:rPr>
        <w:t>6</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）、手术治疗等。</w:t>
      </w:r>
    </w:p>
    <w:p w14:paraId="09B2A8A2">
      <w:pPr>
        <w:keepNext w:val="0"/>
        <w:keepLines w:val="0"/>
        <w:pageBreakBefore w:val="0"/>
        <w:widowControl w:val="0"/>
        <w:numPr>
          <w:ilvl w:val="0"/>
          <w:numId w:val="0"/>
        </w:numPr>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lang w:val="en-US" w:eastAsia="zh-CN" w:bidi="ar-SA"/>
          <w14:textFill>
            <w14:solidFill>
              <w14:schemeClr w14:val="tx1"/>
            </w14:solidFill>
          </w14:textFill>
        </w:rPr>
        <w:t>（</w:t>
      </w:r>
      <w:r>
        <w:rPr>
          <w:rFonts w:hint="eastAsia" w:ascii="Times New Roman" w:hAnsi="Times New Roman" w:eastAsia="仿宋_GB2312" w:cs="仿宋_GB2312"/>
          <w:color w:val="000000" w:themeColor="text1"/>
          <w:spacing w:val="0"/>
          <w:w w:val="100"/>
          <w:kern w:val="0"/>
          <w:sz w:val="32"/>
          <w:szCs w:val="32"/>
          <w:lang w:val="en-US" w:eastAsia="zh-CN" w:bidi="ar-SA"/>
          <w14:textFill>
            <w14:solidFill>
              <w14:schemeClr w14:val="tx1"/>
            </w14:solidFill>
          </w14:textFill>
        </w:rPr>
        <w:t>5</w:t>
      </w:r>
      <w:r>
        <w:rPr>
          <w:rFonts w:hint="eastAsia" w:ascii="仿宋_GB2312" w:hAnsi="仿宋_GB2312" w:eastAsia="仿宋_GB2312" w:cs="仿宋_GB2312"/>
          <w:color w:val="000000" w:themeColor="text1"/>
          <w:spacing w:val="0"/>
          <w:w w:val="100"/>
          <w:kern w:val="0"/>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费用告知</w:t>
      </w:r>
    </w:p>
    <w:p w14:paraId="4981F835">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履行医疗费用支出告知义务，封闭式管理适时通报费用，开放式管理严格落实一日清单制度。</w:t>
      </w:r>
    </w:p>
    <w:p w14:paraId="14B4D51F">
      <w:pPr>
        <w:keepNext w:val="0"/>
        <w:keepLines w:val="0"/>
        <w:pageBreakBefore w:val="0"/>
        <w:widowControl w:val="0"/>
        <w:numPr>
          <w:ilvl w:val="0"/>
          <w:numId w:val="0"/>
        </w:numPr>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lang w:val="en-US" w:eastAsia="zh-CN" w:bidi="ar-SA"/>
          <w14:textFill>
            <w14:solidFill>
              <w14:schemeClr w14:val="tx1"/>
            </w14:solidFill>
          </w14:textFill>
        </w:rPr>
        <w:t>（</w:t>
      </w:r>
      <w:r>
        <w:rPr>
          <w:rFonts w:hint="eastAsia" w:ascii="Times New Roman" w:hAnsi="Times New Roman" w:eastAsia="仿宋_GB2312" w:cs="仿宋_GB2312"/>
          <w:color w:val="000000" w:themeColor="text1"/>
          <w:spacing w:val="0"/>
          <w:w w:val="100"/>
          <w:kern w:val="0"/>
          <w:sz w:val="32"/>
          <w:szCs w:val="32"/>
          <w:lang w:val="en-US" w:eastAsia="zh-CN" w:bidi="ar-SA"/>
          <w14:textFill>
            <w14:solidFill>
              <w14:schemeClr w14:val="tx1"/>
            </w14:solidFill>
          </w14:textFill>
        </w:rPr>
        <w:t>6</w:t>
      </w:r>
      <w:r>
        <w:rPr>
          <w:rFonts w:hint="eastAsia" w:ascii="仿宋_GB2312" w:hAnsi="仿宋_GB2312" w:eastAsia="仿宋_GB2312" w:cs="仿宋_GB2312"/>
          <w:color w:val="000000" w:themeColor="text1"/>
          <w:spacing w:val="0"/>
          <w:w w:val="100"/>
          <w:kern w:val="0"/>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自费项目</w:t>
      </w:r>
    </w:p>
    <w:p w14:paraId="280FC1C3">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自费项目须经患者或监护人知情同意。</w:t>
      </w:r>
    </w:p>
    <w:p w14:paraId="0EB41D06">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spacing w:val="0"/>
          <w:w w:val="100"/>
          <w:kern w:val="0"/>
          <w:sz w:val="32"/>
          <w:szCs w:val="32"/>
          <w14:textFill>
            <w14:solidFill>
              <w14:schemeClr w14:val="tx1"/>
            </w14:solidFill>
          </w14:textFill>
        </w:rPr>
      </w:pPr>
      <w:r>
        <w:rPr>
          <w:rFonts w:hint="eastAsia" w:ascii="黑体" w:hAnsi="黑体" w:eastAsia="黑体" w:cs="黑体"/>
          <w:color w:val="000000" w:themeColor="text1"/>
          <w:spacing w:val="0"/>
          <w:w w:val="100"/>
          <w:kern w:val="0"/>
          <w:sz w:val="32"/>
          <w:szCs w:val="32"/>
          <w14:textFill>
            <w14:solidFill>
              <w14:schemeClr w14:val="tx1"/>
            </w14:solidFill>
          </w14:textFill>
        </w:rPr>
        <w:t>十一、使用酒精引起的精神和行为障碍住院管理</w:t>
      </w:r>
    </w:p>
    <w:p w14:paraId="5921F84F">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（一）住院指征与评估</w:t>
      </w:r>
    </w:p>
    <w:p w14:paraId="76504DC6">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符合使用酒精引起的精神和行为障碍诊断，存在以下情形之一者应住院治疗：急性中毒或戒断症状需医学监护；严重精神行为症状（如幻觉、妄想、激越）需住院干预；合并躯体疾病需协同治疗；既往多次复发、治疗依从性差；缺乏稳定家庭监护或社会支持条件。入院后应完成躯体状况、精神状况、物质使用严重程度、心理社会需求等多维度评估，并以此作为制定个体化治疗方案的依据。</w:t>
      </w:r>
    </w:p>
    <w:p w14:paraId="63D46926">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（二）住院期间综合管理</w:t>
      </w:r>
    </w:p>
    <w:p w14:paraId="4E74E07F">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根据患者病情严重程度及临床阶段，采取相应的治疗与监护措施。以稳定躯体状况、控制精神行为症状为核心。包括但不限于：采用苯二氮䓬类药物替代递减治疗，预防和处理戒断综合征；补充</w:t>
      </w:r>
      <w:r>
        <w:rPr>
          <w:rFonts w:hint="eastAsia" w:ascii="Times New Roman" w:hAnsi="Times New Roman" w:eastAsia="仿宋_GB2312" w:cs="仿宋_GB2312"/>
          <w:color w:val="000000" w:themeColor="text1"/>
          <w:spacing w:val="0"/>
          <w:w w:val="100"/>
          <w:kern w:val="0"/>
          <w:sz w:val="32"/>
          <w:szCs w:val="32"/>
          <w14:textFill>
            <w14:solidFill>
              <w14:schemeClr w14:val="tx1"/>
            </w14:solidFill>
          </w14:textFill>
        </w:rPr>
        <w:t>B</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族维生素及电解质；对兴奋、激越、幻觉等症状给予抗精神病药物对症处理；建立由精神科医师、护士、心理治疗师等组成的多学科团队，定期组织病例讨论，动态评估治疗效果与住院必要性。</w:t>
      </w:r>
    </w:p>
    <w:p w14:paraId="76B47093">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（三）出院计划与康复衔接</w:t>
      </w:r>
    </w:p>
    <w:p w14:paraId="4EAFB6D6">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住院期间应同步启动出院规划，明确治疗目标与康复需求。出院前完成复发风险评估，制定个体化防复发方案，开展患者及家属健康教育，指导药物维持治疗及复诊安排。在院内诊疗与社区随访之间做好衔接，以便出院后获得持续随访与康复支持。系统开展心理社会干预，包括动机强化访谈、认知行为治疗、复发预防训练、家庭支持指导、同伴支持与自助互助等。</w:t>
      </w:r>
    </w:p>
    <w:p w14:paraId="35BDB51D">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（四）质量监督与记录要求</w:t>
      </w:r>
    </w:p>
    <w:p w14:paraId="157DE593">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将使用酒精引起的精神和行为障碍住院管理纳入医院医疗质量管控范围，定期对住院指征、治疗规范性、住院时长、出院衔接等情况进行督导与评价；病历须完整记录入院评估、诊疗过程、心理社会干预、出院计划及出院后随访安排等信息，所有记录均应及时、规范、可追溯；出院前应协调落实出院后随访事宜，确保患者及家属知晓复诊计划与戒酒维护措施。</w:t>
      </w:r>
    </w:p>
    <w:p w14:paraId="62D480DE">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spacing w:val="0"/>
          <w:w w:val="100"/>
          <w:kern w:val="0"/>
          <w:sz w:val="32"/>
          <w:szCs w:val="32"/>
          <w14:textFill>
            <w14:solidFill>
              <w14:schemeClr w14:val="tx1"/>
            </w14:solidFill>
          </w14:textFill>
        </w:rPr>
      </w:pPr>
      <w:r>
        <w:rPr>
          <w:rFonts w:hint="eastAsia" w:ascii="黑体" w:hAnsi="黑体" w:eastAsia="黑体" w:cs="黑体"/>
          <w:color w:val="000000" w:themeColor="text1"/>
          <w:spacing w:val="0"/>
          <w:w w:val="100"/>
          <w:kern w:val="0"/>
          <w:sz w:val="32"/>
          <w:szCs w:val="32"/>
          <w14:textFill>
            <w14:solidFill>
              <w14:schemeClr w14:val="tx1"/>
            </w14:solidFill>
          </w14:textFill>
        </w:rPr>
        <w:t>十二、长期住院管理</w:t>
      </w:r>
    </w:p>
    <w:p w14:paraId="0C625AF2">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（一）住院必要性与审查</w:t>
      </w:r>
    </w:p>
    <w:p w14:paraId="2B32823E">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长期住院必要性是指患者因病情需要或功能维持等原因，确需在医疗机构内接受医疗、护理或康复服务，且无法通过门诊、社区或家庭照护等方式满足的临床状态。对长期住院（通常指超过</w:t>
      </w:r>
      <w:r>
        <w:rPr>
          <w:rFonts w:hint="eastAsia" w:ascii="Times New Roman" w:hAnsi="Times New Roman" w:eastAsia="仿宋_GB2312" w:cs="仿宋_GB2312"/>
          <w:color w:val="000000" w:themeColor="text1"/>
          <w:spacing w:val="0"/>
          <w:w w:val="100"/>
          <w:kern w:val="0"/>
          <w:sz w:val="32"/>
          <w:szCs w:val="32"/>
          <w:lang w:val="en-US" w:eastAsia="zh-CN"/>
          <w14:textFill>
            <w14:solidFill>
              <w14:schemeClr w14:val="tx1"/>
            </w14:solidFill>
          </w14:textFill>
        </w:rPr>
        <w:t>180</w:t>
      </w:r>
      <w:r>
        <w:rPr>
          <w:rFonts w:hint="eastAsia" w:ascii="仿宋_GB2312" w:hAnsi="仿宋_GB2312" w:eastAsia="仿宋_GB2312" w:cs="仿宋_GB2312"/>
          <w:color w:val="000000" w:themeColor="text1"/>
          <w:spacing w:val="0"/>
          <w:w w:val="100"/>
          <w:kern w:val="0"/>
          <w:sz w:val="32"/>
          <w:szCs w:val="32"/>
          <w:lang w:val="en-US" w:eastAsia="zh-CN"/>
          <w14:textFill>
            <w14:solidFill>
              <w14:schemeClr w14:val="tx1"/>
            </w14:solidFill>
          </w14:textFill>
        </w:rPr>
        <w:t>天</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）的患者，须由科主任安排</w:t>
      </w:r>
      <w:r>
        <w:rPr>
          <w:rFonts w:hint="eastAsia" w:ascii="Times New Roman" w:hAnsi="Times New Roman" w:eastAsia="仿宋_GB2312" w:cs="仿宋_GB2312"/>
          <w:color w:val="000000" w:themeColor="text1"/>
          <w:spacing w:val="0"/>
          <w:w w:val="100"/>
          <w:kern w:val="0"/>
          <w:sz w:val="32"/>
          <w:szCs w:val="32"/>
          <w14:textFill>
            <w14:solidFill>
              <w14:schemeClr w14:val="tx1"/>
            </w14:solidFill>
          </w14:textFill>
        </w:rPr>
        <w:t>2</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名主治及以上职称医师进行</w:t>
      </w:r>
      <w:r>
        <w:rPr>
          <w:rFonts w:hint="eastAsia" w:ascii="仿宋_GB2312" w:hAnsi="仿宋_GB2312" w:eastAsia="仿宋_GB2312" w:cs="仿宋_GB2312"/>
          <w:color w:val="000000" w:themeColor="text1"/>
          <w:spacing w:val="0"/>
          <w:w w:val="100"/>
          <w:kern w:val="0"/>
          <w:sz w:val="32"/>
          <w:szCs w:val="32"/>
          <w:lang w:val="en-US" w:eastAsia="zh-CN"/>
          <w14:textFill>
            <w14:solidFill>
              <w14:schemeClr w14:val="tx1"/>
            </w14:solidFill>
          </w14:textFill>
        </w:rPr>
        <w:t>出院</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必要性审查，并记录于病历。每</w:t>
      </w:r>
      <w:r>
        <w:rPr>
          <w:rFonts w:hint="eastAsia" w:ascii="Times New Roman" w:hAnsi="Times New Roman" w:eastAsia="仿宋_GB2312" w:cs="仿宋_GB2312"/>
          <w:color w:val="000000" w:themeColor="text1"/>
          <w:spacing w:val="0"/>
          <w:w w:val="100"/>
          <w:kern w:val="0"/>
          <w:sz w:val="32"/>
          <w:szCs w:val="32"/>
          <w:lang w:val="en-US" w:eastAsia="zh-CN"/>
          <w14:textFill>
            <w14:solidFill>
              <w14:schemeClr w14:val="tx1"/>
            </w14:solidFill>
          </w14:textFill>
        </w:rPr>
        <w:t>90</w:t>
      </w:r>
      <w:r>
        <w:rPr>
          <w:rFonts w:hint="eastAsia" w:ascii="仿宋_GB2312" w:hAnsi="仿宋_GB2312" w:eastAsia="仿宋_GB2312" w:cs="仿宋_GB2312"/>
          <w:color w:val="000000" w:themeColor="text1"/>
          <w:spacing w:val="0"/>
          <w:w w:val="100"/>
          <w:kern w:val="0"/>
          <w:sz w:val="32"/>
          <w:szCs w:val="32"/>
          <w:lang w:val="en-US" w:eastAsia="zh-CN"/>
          <w14:textFill>
            <w14:solidFill>
              <w14:schemeClr w14:val="tx1"/>
            </w14:solidFill>
          </w14:textFill>
        </w:rPr>
        <w:t>天</w:t>
      </w: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必须重新审查一次。</w:t>
      </w:r>
    </w:p>
    <w:p w14:paraId="5D231A67">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（二）住院期间综合评估</w:t>
      </w:r>
    </w:p>
    <w:p w14:paraId="6B10BEDD">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入院后完成包含医疗、功能、认知、心理、社会、环境等多维度的综合评估，作为制定个体化照护计划的基础。</w:t>
      </w:r>
    </w:p>
    <w:p w14:paraId="5F4ED041">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（三）保障生活质量与权利</w:t>
      </w:r>
    </w:p>
    <w:p w14:paraId="1F5E7777">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提供适合患者的文娱康复活动；鼓励并便利家属探视，利用通讯工具保持社会联系；尊重患者在医疗护理中的选择权，定期评估其认知能力与意愿。</w:t>
      </w:r>
    </w:p>
    <w:p w14:paraId="75FB313D">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（四）积极制定出院规划</w:t>
      </w:r>
    </w:p>
    <w:p w14:paraId="04B3CABD">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b/>
          <w:bCs/>
          <w:snapToGrid w:val="0"/>
          <w:spacing w:val="0"/>
          <w:kern w:val="0"/>
          <w:sz w:val="30"/>
          <w:szCs w:val="30"/>
          <w:lang w:eastAsia="zh-CN"/>
        </w:rPr>
      </w:pPr>
      <w:r>
        <w:rPr>
          <w:rFonts w:hint="eastAsia" w:ascii="仿宋_GB2312" w:hAnsi="仿宋_GB2312" w:eastAsia="仿宋_GB2312" w:cs="仿宋_GB2312"/>
          <w:color w:val="000000" w:themeColor="text1"/>
          <w:spacing w:val="0"/>
          <w:w w:val="100"/>
          <w:kern w:val="0"/>
          <w:sz w:val="32"/>
          <w:szCs w:val="32"/>
          <w14:textFill>
            <w14:solidFill>
              <w14:schemeClr w14:val="tx1"/>
            </w14:solidFill>
          </w14:textFill>
        </w:rPr>
        <w:t>即使需要较长住院时间，也须持续评估并积极链接社区资源（如日间照料中心、社区养老福利机构、家庭病床），制定并推动可行的出院计划，避免社会性滞留</w:t>
      </w:r>
      <w:r>
        <w:rPr>
          <w:rFonts w:hint="eastAsia" w:ascii="仿宋_GB2312" w:hAnsi="仿宋_GB2312" w:eastAsia="仿宋_GB2312" w:cs="仿宋_GB2312"/>
          <w:color w:val="000000" w:themeColor="text1"/>
          <w:spacing w:val="0"/>
          <w:w w:val="100"/>
          <w:kern w:val="0"/>
          <w:sz w:val="32"/>
          <w:szCs w:val="32"/>
          <w:lang w:eastAsia="zh-CN"/>
          <w14:textFill>
            <w14:solidFill>
              <w14:schemeClr w14:val="tx1"/>
            </w14:solidFill>
          </w14:textFill>
        </w:rPr>
        <w:t>。</w:t>
      </w:r>
    </w:p>
    <w:p w14:paraId="178CDC10">
      <w:pPr>
        <w:rPr>
          <w:rFonts w:hint="eastAsia" w:ascii="仿宋_GB2312" w:hAnsi="仿宋_GB2312" w:eastAsia="仿宋_GB2312" w:cs="仿宋_GB2312"/>
          <w:b/>
          <w:bCs/>
          <w:snapToGrid w:val="0"/>
          <w:spacing w:val="0"/>
          <w:kern w:val="0"/>
          <w:sz w:val="30"/>
          <w:szCs w:val="30"/>
        </w:rPr>
      </w:pPr>
    </w:p>
    <w:p w14:paraId="4662044F">
      <w:pPr>
        <w:rPr>
          <w:rFonts w:hint="eastAsia" w:ascii="仿宋_GB2312" w:hAnsi="仿宋_GB2312" w:eastAsia="仿宋_GB2312" w:cs="仿宋_GB2312"/>
          <w:b/>
          <w:bCs/>
          <w:snapToGrid w:val="0"/>
          <w:spacing w:val="0"/>
          <w:kern w:val="0"/>
          <w:sz w:val="30"/>
          <w:szCs w:val="30"/>
        </w:rPr>
      </w:pPr>
      <w:r>
        <w:rPr>
          <w:rFonts w:hint="eastAsia" w:ascii="仿宋_GB2312" w:hAnsi="仿宋_GB2312" w:eastAsia="仿宋_GB2312" w:cs="仿宋_GB2312"/>
          <w:b/>
          <w:bCs/>
          <w:snapToGrid w:val="0"/>
          <w:spacing w:val="0"/>
          <w:kern w:val="0"/>
          <w:sz w:val="30"/>
          <w:szCs w:val="30"/>
        </w:rPr>
        <w:br w:type="page"/>
      </w:r>
    </w:p>
    <w:p w14:paraId="3FE1B37F">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p>
    <w:p w14:paraId="784CF5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小标宋_GBK" w:hAnsi="方正小标宋_GBK" w:eastAsia="方正小标宋_GBK" w:cs="方正小标宋_GBK"/>
          <w:color w:val="000000" w:themeColor="text1"/>
          <w:spacing w:val="11"/>
          <w:sz w:val="44"/>
          <w:szCs w:val="44"/>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pacing w:val="11"/>
          <w:sz w:val="44"/>
          <w:szCs w:val="44"/>
          <w:lang w:val="en-US" w:eastAsia="zh-CN"/>
          <w14:textFill>
            <w14:solidFill>
              <w14:schemeClr w14:val="tx1"/>
            </w14:solidFill>
          </w14:textFill>
        </w:rPr>
        <w:t>第六章  出院与康复管理</w:t>
      </w:r>
    </w:p>
    <w:p w14:paraId="08344192">
      <w:pPr>
        <w:keepNext w:val="0"/>
        <w:keepLines w:val="0"/>
        <w:pageBreakBefore w:val="0"/>
        <w:widowControl w:val="0"/>
        <w:kinsoku/>
        <w:wordWrap/>
        <w:overflowPunct/>
        <w:topLinePunct w:val="0"/>
        <w:autoSpaceDE/>
        <w:autoSpaceDN/>
        <w:bidi w:val="0"/>
        <w:adjustRightInd/>
        <w:snapToGrid/>
        <w:spacing w:line="54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p>
    <w:p w14:paraId="55DA67F7">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黑体" w:hAnsi="黑体" w:eastAsia="黑体" w:cs="黑体"/>
          <w:color w:val="000000" w:themeColor="text1"/>
          <w:spacing w:val="0"/>
          <w:kern w:val="0"/>
          <w:sz w:val="32"/>
          <w:szCs w:val="32"/>
          <w14:textFill>
            <w14:solidFill>
              <w14:schemeClr w14:val="tx1"/>
            </w14:solidFill>
          </w14:textFill>
        </w:rPr>
      </w:pPr>
      <w:r>
        <w:rPr>
          <w:rFonts w:hint="eastAsia" w:ascii="黑体" w:hAnsi="黑体" w:eastAsia="黑体" w:cs="黑体"/>
          <w:color w:val="000000" w:themeColor="text1"/>
          <w:spacing w:val="0"/>
          <w:kern w:val="0"/>
          <w:sz w:val="32"/>
          <w:szCs w:val="32"/>
          <w14:textFill>
            <w14:solidFill>
              <w14:schemeClr w14:val="tx1"/>
            </w14:solidFill>
          </w14:textFill>
        </w:rPr>
        <w:t>一、出院权利的法律保障</w:t>
      </w:r>
    </w:p>
    <w:p w14:paraId="78F07938">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（一）自愿住院患者的自主出院权</w:t>
      </w:r>
    </w:p>
    <w:p w14:paraId="621FC638">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自愿住院治疗的精神障碍患者可以随时要求出院，医疗机构应当同意。</w:t>
      </w:r>
    </w:p>
    <w:p w14:paraId="3F2D52CC">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（二）非自愿住院患者的出院权</w:t>
      </w:r>
    </w:p>
    <w:p w14:paraId="3383A192">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w:t>
      </w: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1</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）伤害自身情形的非自愿住院</w:t>
      </w:r>
    </w:p>
    <w:p w14:paraId="4A1AC88D">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对有《中华人民共和国精神卫生法》第三十条第二款第一项情形的精神障碍患者实施住院治疗的，监护人可以随时要求患者出院，医疗机构应当同意。</w:t>
      </w:r>
    </w:p>
    <w:p w14:paraId="495B4DD0">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医疗机构认为自愿住院、伤害自身情形的非自愿住院精神障碍患者不宜出院的，应当告知不宜出院的理由；患者监护人仍要求出院的，执业医师应当在病历资料中详细记录告知的过程，同时提出出院后的医学建议，患者监护人应当签字确认。</w:t>
      </w:r>
    </w:p>
    <w:p w14:paraId="44BF9A29">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w:t>
      </w: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2</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）危害他人安全情形的非自愿住院</w:t>
      </w:r>
    </w:p>
    <w:p w14:paraId="73B092F4">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严重精神障碍患者完成治疗疗程，医疗机构综合评估患者符合出院条件后，第一时间告知患者、监护人，同步推送患者诊疗、康复信息至属地社区及精神卫生防治机构，做好出院后接续管理衔接，不得增设无</w:t>
      </w:r>
      <w:r>
        <w:rPr>
          <w:rFonts w:hint="eastAsia" w:ascii="仿宋_GB2312" w:hAnsi="仿宋_GB2312" w:eastAsia="仿宋_GB2312" w:cs="仿宋_GB2312"/>
          <w:color w:val="000000" w:themeColor="text1"/>
          <w:spacing w:val="0"/>
          <w:kern w:val="0"/>
          <w:sz w:val="32"/>
          <w:szCs w:val="32"/>
          <w:lang w:val="en-US" w:eastAsia="zh-CN"/>
          <w14:textFill>
            <w14:solidFill>
              <w14:schemeClr w14:val="tx1"/>
            </w14:solidFill>
          </w14:textFill>
        </w:rPr>
        <w:t>法律</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依据的出院限制条件。经评估不符合上述出院条件的，医疗机构应履行以下程序：向患者及监护人充分告知不宜出院的医学理由、出院后可能面临的风险（包括病情复发、症状加重、危害他人安全或伤害自身的风险）及医学建议；多次告知上述内容，但患者及监护人仍坚持要求办理出院</w:t>
      </w:r>
      <w:r>
        <w:rPr>
          <w:rFonts w:hint="eastAsia" w:ascii="仿宋_GB2312" w:hAnsi="仿宋_GB2312" w:eastAsia="仿宋_GB2312" w:cs="仿宋_GB2312"/>
          <w:color w:val="000000" w:themeColor="text1"/>
          <w:spacing w:val="0"/>
          <w:kern w:val="0"/>
          <w:sz w:val="32"/>
          <w:szCs w:val="32"/>
          <w:lang w:val="en-US" w:eastAsia="zh-CN"/>
          <w14:textFill>
            <w14:solidFill>
              <w14:schemeClr w14:val="tx1"/>
            </w14:solidFill>
          </w14:textFill>
        </w:rPr>
        <w:t>的</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，应当及时将患者出院信息推送至属地社区及精神卫生防治机构，做好接续管理衔接；患者监护人应当依法履行接回义务，办理出院手续。医疗机构应当与监护人签署《出院交接确认书》，明确各方责任。</w:t>
      </w:r>
      <w:r>
        <w:rPr>
          <w:rFonts w:hint="eastAsia" w:ascii="仿宋_GB2312" w:hAnsi="仿宋_GB2312" w:eastAsia="仿宋_GB2312" w:cs="仿宋_GB2312"/>
          <w:color w:val="000000" w:themeColor="text1"/>
          <w:spacing w:val="0"/>
          <w:sz w:val="32"/>
          <w:szCs w:val="32"/>
          <w14:textFill>
            <w14:solidFill>
              <w14:schemeClr w14:val="tx1"/>
            </w14:solidFill>
          </w14:textFill>
        </w:rPr>
        <w:t>医疗机构严格按照诊疗规范完成出院评估、风险告知、信息转介、康复指导等全流程工作；患者出院后，监护人应当依法履行监护职责，督促患者遵医嘱规律服药、定期复诊、参与康复训练，防范病情复发及各类风险。</w:t>
      </w:r>
    </w:p>
    <w:p w14:paraId="074A3BDE">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黑体" w:hAnsi="黑体" w:eastAsia="黑体" w:cs="黑体"/>
          <w:color w:val="000000" w:themeColor="text1"/>
          <w:spacing w:val="0"/>
          <w:kern w:val="0"/>
          <w:sz w:val="32"/>
          <w:szCs w:val="32"/>
          <w14:textFill>
            <w14:solidFill>
              <w14:schemeClr w14:val="tx1"/>
            </w14:solidFill>
          </w14:textFill>
        </w:rPr>
      </w:pPr>
      <w:r>
        <w:rPr>
          <w:rFonts w:hint="eastAsia" w:ascii="黑体" w:hAnsi="黑体" w:eastAsia="黑体" w:cs="黑体"/>
          <w:color w:val="000000" w:themeColor="text1"/>
          <w:spacing w:val="0"/>
          <w:kern w:val="0"/>
          <w:sz w:val="32"/>
          <w:szCs w:val="32"/>
          <w14:textFill>
            <w14:solidFill>
              <w14:schemeClr w14:val="tx1"/>
            </w14:solidFill>
          </w14:textFill>
        </w:rPr>
        <w:t>二、出院标准及流程</w:t>
      </w:r>
    </w:p>
    <w:p w14:paraId="4585DA83">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bookmarkStart w:id="24" w:name="heading_100"/>
      <w:r>
        <w:rPr>
          <w:rFonts w:hint="eastAsia" w:ascii="楷体_GB2312" w:hAnsi="楷体_GB2312" w:eastAsia="楷体_GB2312" w:cs="楷体_GB2312"/>
          <w:color w:val="000000" w:themeColor="text1"/>
          <w:spacing w:val="0"/>
          <w:kern w:val="0"/>
          <w:sz w:val="32"/>
          <w:szCs w:val="32"/>
          <w14:textFill>
            <w14:solidFill>
              <w14:schemeClr w14:val="tx1"/>
            </w14:solidFill>
          </w14:textFill>
        </w:rPr>
        <w:t>（一）出院标准分级</w:t>
      </w:r>
      <w:bookmarkEnd w:id="24"/>
    </w:p>
    <w:p w14:paraId="7A83438B">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符合以下任一标准，经精神科医师评估、医师签字确认后，可准予出院：</w:t>
      </w:r>
    </w:p>
    <w:p w14:paraId="48CB526B">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w:t>
      </w: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1</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w:t>
      </w:r>
      <w:r>
        <w:rPr>
          <w:rFonts w:hint="eastAsia" w:ascii="仿宋_GB2312" w:hAnsi="仿宋_GB2312" w:eastAsia="仿宋_GB2312" w:cs="仿宋_GB2312"/>
          <w:color w:val="000000" w:themeColor="text1"/>
          <w:spacing w:val="0"/>
          <w:sz w:val="32"/>
          <w:szCs w:val="32"/>
          <w14:textFill>
            <w14:solidFill>
              <w14:schemeClr w14:val="tx1"/>
            </w14:solidFill>
          </w14:textFill>
        </w:rPr>
        <w:t>临床痊愈</w:t>
      </w:r>
    </w:p>
    <w:p w14:paraId="2C2F02B9">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精神症状消除，自知力完全恢复，社会功能基本恢复正常；躯体健康状况良好，药物不良反应得到有效控制；无自伤自杀、伤人风险。</w:t>
      </w:r>
    </w:p>
    <w:p w14:paraId="5D2B6D8D">
      <w:pPr>
        <w:keepNext w:val="0"/>
        <w:keepLines w:val="0"/>
        <w:pageBreakBefore w:val="0"/>
        <w:widowControl w:val="0"/>
        <w:numPr>
          <w:ilvl w:val="0"/>
          <w:numId w:val="0"/>
        </w:numPr>
        <w:kinsoku/>
        <w:wordWrap/>
        <w:overflowPunct/>
        <w:topLinePunct w:val="0"/>
        <w:autoSpaceDE/>
        <w:autoSpaceDN/>
        <w:bidi w:val="0"/>
        <w:adjustRightInd/>
        <w:snapToGrid/>
        <w:spacing w:line="586" w:lineRule="exact"/>
        <w:ind w:left="0" w:leftChars="0" w:firstLine="640" w:firstLineChars="200"/>
        <w:jc w:val="both"/>
        <w:textAlignment w:val="auto"/>
        <w:rPr>
          <w:rStyle w:val="29"/>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lang w:val="en-US" w:eastAsia="zh-CN" w:bidi="ar-SA"/>
          <w14:textFill>
            <w14:solidFill>
              <w14:schemeClr w14:val="tx1"/>
            </w14:solidFill>
          </w14:textFill>
        </w:rPr>
        <w:t>（</w:t>
      </w:r>
      <w:r>
        <w:rPr>
          <w:rFonts w:hint="eastAsia" w:ascii="Times New Roman" w:hAnsi="Times New Roman" w:eastAsia="仿宋_GB2312" w:cs="仿宋_GB2312"/>
          <w:color w:val="000000" w:themeColor="text1"/>
          <w:spacing w:val="0"/>
          <w:kern w:val="0"/>
          <w:sz w:val="32"/>
          <w:szCs w:val="32"/>
          <w:lang w:val="en-US" w:eastAsia="zh-CN" w:bidi="ar-SA"/>
          <w14:textFill>
            <w14:solidFill>
              <w14:schemeClr w14:val="tx1"/>
            </w14:solidFill>
          </w14:textFill>
        </w:rPr>
        <w:t>2</w:t>
      </w:r>
      <w:r>
        <w:rPr>
          <w:rFonts w:hint="eastAsia" w:ascii="仿宋_GB2312" w:hAnsi="仿宋_GB2312" w:eastAsia="仿宋_GB2312" w:cs="仿宋_GB2312"/>
          <w:color w:val="000000" w:themeColor="text1"/>
          <w:spacing w:val="0"/>
          <w:kern w:val="0"/>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pacing w:val="0"/>
          <w:sz w:val="32"/>
          <w:szCs w:val="32"/>
          <w14:textFill>
            <w14:solidFill>
              <w14:schemeClr w14:val="tx1"/>
            </w14:solidFill>
          </w14:textFill>
        </w:rPr>
        <w:t>临床好转</w:t>
      </w:r>
    </w:p>
    <w:p w14:paraId="4552ECC7">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精神症状部分缓解，自知力部分恢复，社会功能部分恢复；躯体疾病病情基本稳定，药物不良反应较轻，不影响日常生活；无明显自伤自杀、伤人风险。</w:t>
      </w:r>
    </w:p>
    <w:p w14:paraId="5C9036BE">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w:t>
      </w: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3</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w:t>
      </w:r>
      <w:r>
        <w:rPr>
          <w:rFonts w:hint="eastAsia" w:ascii="仿宋_GB2312" w:hAnsi="仿宋_GB2312" w:eastAsia="仿宋_GB2312" w:cs="仿宋_GB2312"/>
          <w:color w:val="000000" w:themeColor="text1"/>
          <w:spacing w:val="0"/>
          <w:kern w:val="0"/>
          <w:sz w:val="32"/>
          <w:szCs w:val="32"/>
          <w:lang w:val="en-US" w:eastAsia="zh-CN"/>
          <w14:textFill>
            <w14:solidFill>
              <w14:schemeClr w14:val="tx1"/>
            </w14:solidFill>
          </w14:textFill>
        </w:rPr>
        <w:t>临床</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稳定</w:t>
      </w:r>
    </w:p>
    <w:p w14:paraId="6B5C8D19">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精神症状基本控制，自知力部分恢复，生活能够自理；躯体状况良好，可在门诊继续治疗；经评估出院后风险可控。</w:t>
      </w:r>
    </w:p>
    <w:p w14:paraId="69FA894D">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bookmarkStart w:id="25" w:name="heading_101"/>
      <w:r>
        <w:rPr>
          <w:rFonts w:hint="eastAsia" w:ascii="楷体_GB2312" w:hAnsi="楷体_GB2312" w:eastAsia="楷体_GB2312" w:cs="楷体_GB2312"/>
          <w:color w:val="000000" w:themeColor="text1"/>
          <w:spacing w:val="0"/>
          <w:kern w:val="0"/>
          <w:sz w:val="32"/>
          <w:szCs w:val="32"/>
          <w14:textFill>
            <w14:solidFill>
              <w14:schemeClr w14:val="tx1"/>
            </w14:solidFill>
          </w14:textFill>
        </w:rPr>
        <w:t>（二）出院评估维度</w:t>
      </w:r>
      <w:bookmarkEnd w:id="25"/>
    </w:p>
    <w:p w14:paraId="62123197">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患者出院前，由主管医师牵头进行全面出院评估，内容包括：</w:t>
      </w:r>
    </w:p>
    <w:p w14:paraId="61874F1A">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w:t>
      </w: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1</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）精神症状评估</w:t>
      </w:r>
    </w:p>
    <w:p w14:paraId="75C682E2">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通过量表评估与临床观察，判断精神症状是否消除或大部分缓解。</w:t>
      </w:r>
    </w:p>
    <w:p w14:paraId="4760B33E">
      <w:pPr>
        <w:keepNext w:val="0"/>
        <w:keepLines w:val="0"/>
        <w:pageBreakBefore w:val="0"/>
        <w:widowControl w:val="0"/>
        <w:numPr>
          <w:ilvl w:val="0"/>
          <w:numId w:val="0"/>
        </w:numPr>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lang w:val="en-US" w:eastAsia="zh-CN" w:bidi="ar-SA"/>
          <w14:textFill>
            <w14:solidFill>
              <w14:schemeClr w14:val="tx1"/>
            </w14:solidFill>
          </w14:textFill>
        </w:rPr>
        <w:t>（</w:t>
      </w:r>
      <w:r>
        <w:rPr>
          <w:rFonts w:hint="eastAsia" w:ascii="Times New Roman" w:hAnsi="Times New Roman" w:eastAsia="仿宋_GB2312" w:cs="仿宋_GB2312"/>
          <w:color w:val="000000" w:themeColor="text1"/>
          <w:spacing w:val="0"/>
          <w:kern w:val="0"/>
          <w:sz w:val="32"/>
          <w:szCs w:val="32"/>
          <w:lang w:val="en-US" w:eastAsia="zh-CN" w:bidi="ar-SA"/>
          <w14:textFill>
            <w14:solidFill>
              <w14:schemeClr w14:val="tx1"/>
            </w14:solidFill>
          </w14:textFill>
        </w:rPr>
        <w:t>2</w:t>
      </w:r>
      <w:r>
        <w:rPr>
          <w:rFonts w:hint="eastAsia" w:ascii="仿宋_GB2312" w:hAnsi="仿宋_GB2312" w:eastAsia="仿宋_GB2312" w:cs="仿宋_GB2312"/>
          <w:color w:val="000000" w:themeColor="text1"/>
          <w:spacing w:val="0"/>
          <w:kern w:val="0"/>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自知力评估</w:t>
      </w:r>
    </w:p>
    <w:p w14:paraId="704C6529">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评估患者对疾病的认识能力与服药依从性。</w:t>
      </w:r>
    </w:p>
    <w:p w14:paraId="0745CCF3">
      <w:pPr>
        <w:keepNext w:val="0"/>
        <w:keepLines w:val="0"/>
        <w:pageBreakBefore w:val="0"/>
        <w:widowControl w:val="0"/>
        <w:numPr>
          <w:ilvl w:val="0"/>
          <w:numId w:val="0"/>
        </w:numPr>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lang w:val="en-US" w:eastAsia="zh-CN" w:bidi="ar-SA"/>
          <w14:textFill>
            <w14:solidFill>
              <w14:schemeClr w14:val="tx1"/>
            </w14:solidFill>
          </w14:textFill>
        </w:rPr>
        <w:t>（</w:t>
      </w:r>
      <w:r>
        <w:rPr>
          <w:rFonts w:hint="eastAsia" w:ascii="Times New Roman" w:hAnsi="Times New Roman" w:eastAsia="仿宋_GB2312" w:cs="仿宋_GB2312"/>
          <w:color w:val="000000" w:themeColor="text1"/>
          <w:spacing w:val="0"/>
          <w:kern w:val="0"/>
          <w:sz w:val="32"/>
          <w:szCs w:val="32"/>
          <w:lang w:val="en-US" w:eastAsia="zh-CN" w:bidi="ar-SA"/>
          <w14:textFill>
            <w14:solidFill>
              <w14:schemeClr w14:val="tx1"/>
            </w14:solidFill>
          </w14:textFill>
        </w:rPr>
        <w:t>3</w:t>
      </w:r>
      <w:r>
        <w:rPr>
          <w:rFonts w:hint="eastAsia" w:ascii="仿宋_GB2312" w:hAnsi="仿宋_GB2312" w:eastAsia="仿宋_GB2312" w:cs="仿宋_GB2312"/>
          <w:color w:val="000000" w:themeColor="text1"/>
          <w:spacing w:val="0"/>
          <w:kern w:val="0"/>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社会功能评估</w:t>
      </w:r>
    </w:p>
    <w:p w14:paraId="10DB2F28">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评估患者生活自理能力、工作学习能力、社交能力等。</w:t>
      </w:r>
    </w:p>
    <w:p w14:paraId="1EF07884">
      <w:pPr>
        <w:keepNext w:val="0"/>
        <w:keepLines w:val="0"/>
        <w:pageBreakBefore w:val="0"/>
        <w:widowControl w:val="0"/>
        <w:numPr>
          <w:ilvl w:val="0"/>
          <w:numId w:val="0"/>
        </w:numPr>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lang w:val="en-US" w:eastAsia="zh-CN" w:bidi="ar-SA"/>
          <w14:textFill>
            <w14:solidFill>
              <w14:schemeClr w14:val="tx1"/>
            </w14:solidFill>
          </w14:textFill>
        </w:rPr>
        <w:t>（</w:t>
      </w:r>
      <w:r>
        <w:rPr>
          <w:rFonts w:hint="eastAsia" w:ascii="Times New Roman" w:hAnsi="Times New Roman" w:eastAsia="仿宋_GB2312" w:cs="仿宋_GB2312"/>
          <w:color w:val="000000" w:themeColor="text1"/>
          <w:spacing w:val="0"/>
          <w:kern w:val="0"/>
          <w:sz w:val="32"/>
          <w:szCs w:val="32"/>
          <w:lang w:val="en-US" w:eastAsia="zh-CN" w:bidi="ar-SA"/>
          <w14:textFill>
            <w14:solidFill>
              <w14:schemeClr w14:val="tx1"/>
            </w14:solidFill>
          </w14:textFill>
        </w:rPr>
        <w:t>4</w:t>
      </w:r>
      <w:r>
        <w:rPr>
          <w:rFonts w:hint="eastAsia" w:ascii="仿宋_GB2312" w:hAnsi="仿宋_GB2312" w:eastAsia="仿宋_GB2312" w:cs="仿宋_GB2312"/>
          <w:color w:val="000000" w:themeColor="text1"/>
          <w:spacing w:val="0"/>
          <w:kern w:val="0"/>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躯体健康评估</w:t>
      </w:r>
    </w:p>
    <w:p w14:paraId="7E3CE39C">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评估躯体疾病治疗情况、药物不良反应是否得到控制。</w:t>
      </w:r>
    </w:p>
    <w:p w14:paraId="774869DA">
      <w:pPr>
        <w:keepNext w:val="0"/>
        <w:keepLines w:val="0"/>
        <w:pageBreakBefore w:val="0"/>
        <w:widowControl w:val="0"/>
        <w:numPr>
          <w:ilvl w:val="0"/>
          <w:numId w:val="0"/>
        </w:numPr>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lang w:val="en-US" w:eastAsia="zh-CN" w:bidi="ar-SA"/>
          <w14:textFill>
            <w14:solidFill>
              <w14:schemeClr w14:val="tx1"/>
            </w14:solidFill>
          </w14:textFill>
        </w:rPr>
        <w:t>（</w:t>
      </w:r>
      <w:r>
        <w:rPr>
          <w:rFonts w:hint="eastAsia" w:ascii="Times New Roman" w:hAnsi="Times New Roman" w:eastAsia="仿宋_GB2312" w:cs="仿宋_GB2312"/>
          <w:color w:val="000000" w:themeColor="text1"/>
          <w:spacing w:val="0"/>
          <w:kern w:val="0"/>
          <w:sz w:val="32"/>
          <w:szCs w:val="32"/>
          <w:lang w:val="en-US" w:eastAsia="zh-CN" w:bidi="ar-SA"/>
          <w14:textFill>
            <w14:solidFill>
              <w14:schemeClr w14:val="tx1"/>
            </w14:solidFill>
          </w14:textFill>
        </w:rPr>
        <w:t>5</w:t>
      </w:r>
      <w:r>
        <w:rPr>
          <w:rFonts w:hint="eastAsia" w:ascii="仿宋_GB2312" w:hAnsi="仿宋_GB2312" w:eastAsia="仿宋_GB2312" w:cs="仿宋_GB2312"/>
          <w:color w:val="000000" w:themeColor="text1"/>
          <w:spacing w:val="0"/>
          <w:kern w:val="0"/>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风险评估</w:t>
      </w:r>
    </w:p>
    <w:p w14:paraId="209766CE">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评估患者出院后是否存在自伤自杀、伤人风险，以及家庭支持系统是否完善。</w:t>
      </w:r>
    </w:p>
    <w:p w14:paraId="26FC9E46">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黑体" w:hAnsi="黑体" w:eastAsia="黑体" w:cs="黑体"/>
          <w:color w:val="000000" w:themeColor="text1"/>
          <w:spacing w:val="0"/>
          <w:kern w:val="0"/>
          <w:sz w:val="32"/>
          <w:szCs w:val="32"/>
          <w14:textFill>
            <w14:solidFill>
              <w14:schemeClr w14:val="tx1"/>
            </w14:solidFill>
          </w14:textFill>
        </w:rPr>
      </w:pPr>
      <w:r>
        <w:rPr>
          <w:rFonts w:hint="eastAsia" w:ascii="黑体" w:hAnsi="黑体" w:eastAsia="黑体" w:cs="黑体"/>
          <w:color w:val="000000" w:themeColor="text1"/>
          <w:spacing w:val="0"/>
          <w:kern w:val="0"/>
          <w:sz w:val="32"/>
          <w:szCs w:val="32"/>
          <w14:textFill>
            <w14:solidFill>
              <w14:schemeClr w14:val="tx1"/>
            </w14:solidFill>
          </w14:textFill>
        </w:rPr>
        <w:t>三、防止患者长期滞留的强制性措施</w:t>
      </w:r>
    </w:p>
    <w:p w14:paraId="2511FCC6">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（一）住院时长监测</w:t>
      </w:r>
    </w:p>
    <w:p w14:paraId="39E8B0A1">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highlight w:val="yellow"/>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建立住院时长预警机制，对住院超过</w:t>
      </w: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90</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天的患者进行重点关注。对住院超过</w:t>
      </w: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180</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天的患者，须由</w:t>
      </w:r>
      <w:r>
        <w:rPr>
          <w:rFonts w:hint="eastAsia" w:ascii="仿宋_GB2312" w:hAnsi="仿宋_GB2312" w:eastAsia="仿宋_GB2312" w:cs="仿宋_GB2312"/>
          <w:color w:val="000000" w:themeColor="text1"/>
          <w:spacing w:val="0"/>
          <w:kern w:val="0"/>
          <w:sz w:val="32"/>
          <w:szCs w:val="32"/>
          <w:lang w:val="en-US" w:eastAsia="zh-CN"/>
          <w14:textFill>
            <w14:solidFill>
              <w14:schemeClr w14:val="tx1"/>
            </w14:solidFill>
          </w14:textFill>
        </w:rPr>
        <w:t>科主任安排</w:t>
      </w: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2</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名主治及以上职称医师进行出院必要性审查。如有必要，可向医院医疗管理部门或医保管理部门报备</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w:t>
      </w:r>
    </w:p>
    <w:p w14:paraId="5819B1D2">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（二）滞留原因排查与解决</w:t>
      </w:r>
    </w:p>
    <w:p w14:paraId="78FB58C1">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定期排查长期滞留患者，建立“一人一档”，明确滞留原因和解决方案。因“无人接回”滞留的，医疗机构应当及时报告属地卫生健康行政部门，由卫生健康行政部门协调政法、民政、残联、乡镇（街道）、村（社区）等部门做好安置衔接。因“监护人拒绝接回”滞留的，医疗机构应当及时报告属地卫生健康行政部门，配合依法督促监护人履行监护职责或协调解决。</w:t>
      </w:r>
    </w:p>
    <w:p w14:paraId="1603BDA7">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黑体" w:hAnsi="黑体" w:eastAsia="黑体" w:cs="黑体"/>
          <w:color w:val="000000" w:themeColor="text1"/>
          <w:spacing w:val="0"/>
          <w:kern w:val="0"/>
          <w:sz w:val="32"/>
          <w:szCs w:val="32"/>
          <w14:textFill>
            <w14:solidFill>
              <w14:schemeClr w14:val="tx1"/>
            </w14:solidFill>
          </w14:textFill>
        </w:rPr>
      </w:pPr>
      <w:r>
        <w:rPr>
          <w:rFonts w:hint="eastAsia" w:ascii="黑体" w:hAnsi="黑体" w:eastAsia="黑体" w:cs="黑体"/>
          <w:color w:val="000000" w:themeColor="text1"/>
          <w:spacing w:val="0"/>
          <w:kern w:val="0"/>
          <w:sz w:val="32"/>
          <w:szCs w:val="32"/>
          <w14:textFill>
            <w14:solidFill>
              <w14:schemeClr w14:val="tx1"/>
            </w14:solidFill>
          </w14:textFill>
        </w:rPr>
        <w:t>四、监督与问责</w:t>
      </w:r>
    </w:p>
    <w:p w14:paraId="15565567">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按照《医疗机构投诉管理办法》建立健全投诉处理机制，落实“接诉即办”，畅通患者维权渠道。对违法限制患者人身自由、无正当理由拒绝患者合法出院申请等行为，依照有关法律法规予以处理。</w:t>
      </w:r>
    </w:p>
    <w:p w14:paraId="6B8E7A3E">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黑体" w:hAnsi="黑体" w:eastAsia="黑体" w:cs="黑体"/>
          <w:color w:val="000000" w:themeColor="text1"/>
          <w:spacing w:val="0"/>
          <w:kern w:val="0"/>
          <w:sz w:val="32"/>
          <w:szCs w:val="32"/>
          <w14:textFill>
            <w14:solidFill>
              <w14:schemeClr w14:val="tx1"/>
            </w14:solidFill>
          </w14:textFill>
        </w:rPr>
      </w:pPr>
      <w:r>
        <w:rPr>
          <w:rFonts w:hint="eastAsia" w:ascii="黑体" w:hAnsi="黑体" w:eastAsia="黑体" w:cs="黑体"/>
          <w:color w:val="000000" w:themeColor="text1"/>
          <w:spacing w:val="0"/>
          <w:kern w:val="0"/>
          <w:sz w:val="32"/>
          <w:szCs w:val="32"/>
          <w14:textFill>
            <w14:solidFill>
              <w14:schemeClr w14:val="tx1"/>
            </w14:solidFill>
          </w14:textFill>
        </w:rPr>
        <w:t>五、出院手续规范</w:t>
      </w:r>
    </w:p>
    <w:p w14:paraId="5913CCF6">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（一）出院文件要求</w:t>
      </w:r>
    </w:p>
    <w:p w14:paraId="6FEFDD81">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患者出院时，医疗机构应当与患者或其监护人签署出院知情同意书，并向患者本人及监护人提供以下资料：①出院诊断证明书；②出院小结；③用药指导单；④康复指导意见；⑤其他按规定应当提供的资料。</w:t>
      </w:r>
    </w:p>
    <w:p w14:paraId="2ED8A627">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（二）出院健康教育</w:t>
      </w:r>
    </w:p>
    <w:p w14:paraId="42960058">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详细告知出院后注意事项、服药方法、不良反应识别与处理。明确复诊时间和地点，强调规律服药和定期复诊的重要性。告知病情复发的早期征兆和应急处置措施。</w:t>
      </w:r>
    </w:p>
    <w:p w14:paraId="5D42D074">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（三）交接确认</w:t>
      </w:r>
    </w:p>
    <w:p w14:paraId="1502E228">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非自愿住院患者出院，应当与接回的监护人办理交接手续</w:t>
      </w:r>
      <w:r>
        <w:rPr>
          <w:rFonts w:hint="eastAsia" w:ascii="仿宋_GB2312" w:hAnsi="仿宋_GB2312" w:eastAsia="仿宋_GB2312" w:cs="仿宋_GB2312"/>
          <w:color w:val="000000" w:themeColor="text1"/>
          <w:spacing w:val="0"/>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签署《出院交接确认书》，明确各方责任和后续照护安排。交接文件存入患者病历永久保存。</w:t>
      </w:r>
    </w:p>
    <w:p w14:paraId="026A0626">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黑体" w:hAnsi="黑体" w:eastAsia="黑体" w:cs="黑体"/>
          <w:color w:val="000000" w:themeColor="text1"/>
          <w:spacing w:val="0"/>
          <w:kern w:val="0"/>
          <w:sz w:val="32"/>
          <w:szCs w:val="32"/>
          <w14:textFill>
            <w14:solidFill>
              <w14:schemeClr w14:val="tx1"/>
            </w14:solidFill>
          </w14:textFill>
        </w:rPr>
      </w:pPr>
      <w:r>
        <w:rPr>
          <w:rFonts w:hint="eastAsia" w:ascii="黑体" w:hAnsi="黑体" w:eastAsia="黑体" w:cs="黑体"/>
          <w:color w:val="000000" w:themeColor="text1"/>
          <w:spacing w:val="0"/>
          <w:kern w:val="0"/>
          <w:sz w:val="32"/>
          <w:szCs w:val="32"/>
          <w14:textFill>
            <w14:solidFill>
              <w14:schemeClr w14:val="tx1"/>
            </w14:solidFill>
          </w14:textFill>
        </w:rPr>
        <w:t>六、出院信息转介</w:t>
      </w:r>
    </w:p>
    <w:p w14:paraId="649D4FC9">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医疗机构须将本机构门诊和出院确诊的严重精神障碍患者相关信息按时录入省“</w:t>
      </w: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323</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”精神卫生防治应用系统，确保医疗机构和基层医疗卫生机构信息互联互通、医院社区衔接管理服务落地见效。所有精神卫生医疗机构应接入省“</w:t>
      </w: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323</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”精神卫生防治应用系统。</w:t>
      </w:r>
    </w:p>
    <w:p w14:paraId="296895AE">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对符合《严重精神障碍管理治疗工作规范（</w:t>
      </w: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2018</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年版）》要求的六类确诊严重精神障碍患者（包括精神分裂症、分裂情感性障碍、偏执性精神障碍、双相（情感）障碍、癫痫所致精神障碍、精神发育迟滞伴发精神障碍），在出院后</w:t>
      </w: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10</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个工作日内将出院信息单通过省“</w:t>
      </w: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323</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”精神卫生防治应用系统转介至其常住地的基层医疗卫生机构；不能确定所属基层医疗卫生机构的，转至患者所属县级精神卫生防治技术管理机构。</w:t>
      </w:r>
    </w:p>
    <w:p w14:paraId="34065847">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黑体" w:hAnsi="黑体" w:eastAsia="黑体" w:cs="黑体"/>
          <w:color w:val="000000" w:themeColor="text1"/>
          <w:spacing w:val="0"/>
          <w:kern w:val="0"/>
          <w:sz w:val="32"/>
          <w:szCs w:val="32"/>
          <w14:textFill>
            <w14:solidFill>
              <w14:schemeClr w14:val="tx1"/>
            </w14:solidFill>
          </w14:textFill>
        </w:rPr>
      </w:pPr>
      <w:r>
        <w:rPr>
          <w:rFonts w:hint="eastAsia" w:ascii="黑体" w:hAnsi="黑体" w:eastAsia="黑体" w:cs="黑体"/>
          <w:color w:val="000000" w:themeColor="text1"/>
          <w:spacing w:val="0"/>
          <w:kern w:val="0"/>
          <w:sz w:val="32"/>
          <w:szCs w:val="32"/>
          <w14:textFill>
            <w14:solidFill>
              <w14:schemeClr w14:val="tx1"/>
            </w14:solidFill>
          </w14:textFill>
        </w:rPr>
        <w:t>七、医康养转介安置</w:t>
      </w:r>
    </w:p>
    <w:p w14:paraId="12FAF348">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精神卫生医疗机构应当配合有关部门，做好严重精神障碍患者出院后的转介安置衔接工作，畅通急性期治疗、康复期训练、长期康养照护的服务链条，促进医疗资源合理利用，保障患者合法权益和生活质量。</w:t>
      </w:r>
    </w:p>
    <w:p w14:paraId="2C5C267C">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（一）服务对象范围</w:t>
      </w:r>
    </w:p>
    <w:p w14:paraId="7D4E69CF">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经住院治疗病情达到临床稳定或出院标准，且存在以下情形之一的严重精神障碍患者，医疗机构可协助提出转介安置建议：①查找不到近亲属或监护人的流浪乞讨人员；②无监护人、监护人丧失监护能力或拒不履行监护责任，且患者存在安全风险的；③家庭确无照护能力或无法履行监护职责，且无其他安置渠道的；④其他符合民政兜底保障条件的。</w:t>
      </w:r>
    </w:p>
    <w:p w14:paraId="677320A0">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（二）医疗机构相关工作流程</w:t>
      </w:r>
    </w:p>
    <w:p w14:paraId="67B60D15">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1</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.出院前综合评估</w:t>
      </w:r>
    </w:p>
    <w:p w14:paraId="75D44317">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对住院时间较长、病情稳定的患者，医疗机构应当及时组织精神科医师、康复治疗师、社会工作者等开展综合评估，内容包括精神症状控制情况、社会功能水平、生活自理能力、家庭支持状况及安置需求。对符合转介条件的患者，提出康复康养医学建议。</w:t>
      </w:r>
    </w:p>
    <w:p w14:paraId="6ECC2FCD">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14:textFill>
            <w14:solidFill>
              <w14:schemeClr w14:val="tx1"/>
            </w14:solidFill>
          </w14:textFill>
        </w:rPr>
        <w:t>2</w:t>
      </w:r>
      <w:r>
        <w:rPr>
          <w:rFonts w:hint="eastAsia" w:ascii="仿宋_GB2312" w:hAnsi="仿宋_GB2312" w:eastAsia="仿宋_GB2312" w:cs="仿宋_GB2312"/>
          <w:color w:val="000000" w:themeColor="text1"/>
          <w:spacing w:val="0"/>
          <w:kern w:val="0"/>
          <w:sz w:val="32"/>
          <w:szCs w:val="32"/>
          <w14:textFill>
            <w14:solidFill>
              <w14:schemeClr w14:val="tx1"/>
            </w14:solidFill>
          </w14:textFill>
        </w:rPr>
        <w:t>.转介建议的提出</w:t>
      </w:r>
    </w:p>
    <w:p w14:paraId="1B7814EA">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经评估符合转介安置条件的患者，医疗机构可以提出转介安置医学建议：①经法定程序或专业评估确认患者具备完全民事行为能力的，应当征得本人同意；②患者为无民事行为能力或限制民事行为能力人，应当征得监护人同意；③查找不到监护人的，按照有关规定由民政部门履行监护职责并办理相关手续。</w:t>
      </w:r>
    </w:p>
    <w:p w14:paraId="0890A5E9">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（三）双向转介衔接</w:t>
      </w:r>
    </w:p>
    <w:p w14:paraId="47C267A9">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建立医疗机构与康复康养机构的双向转介衔接机制。医疗机构评估患者病情稳定、符合康养条件的，按规定转介至康复康养机构接续照护；康复康养机构发现患者病情复发或加重，需要住院治疗的，及时与精神卫生医疗机构对接，开通救治绿色通道。</w:t>
      </w:r>
    </w:p>
    <w:p w14:paraId="60CAA0F3">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（四）交接管理</w:t>
      </w:r>
    </w:p>
    <w:p w14:paraId="4493DE3B">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仿宋_GB2312" w:hAnsi="仿宋_GB2312" w:eastAsia="仿宋_GB2312" w:cs="仿宋_GB2312"/>
          <w:b/>
          <w:bCs/>
          <w:snapToGrid w:val="0"/>
          <w:spacing w:val="0"/>
          <w:kern w:val="0"/>
          <w:sz w:val="30"/>
          <w:szCs w:val="30"/>
          <w:lang w:eastAsia="zh-CN"/>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患者转介安置时，医疗机构应当出具医学诊疗摘要，载明诊断结论、治疗经过、当前用药方案、康复建议及风险评估等内容，与接收机构办理交接手续，交接文件存入患者病历。对身份信息不明的患者，医疗机构应当配合公安机关查找身份</w:t>
      </w:r>
      <w:r>
        <w:rPr>
          <w:rFonts w:hint="eastAsia" w:ascii="仿宋_GB2312" w:hAnsi="仿宋_GB2312" w:eastAsia="仿宋_GB2312" w:cs="仿宋_GB2312"/>
          <w:color w:val="000000" w:themeColor="text1"/>
          <w:spacing w:val="0"/>
          <w:kern w:val="0"/>
          <w:sz w:val="32"/>
          <w:szCs w:val="32"/>
          <w:lang w:eastAsia="zh-CN"/>
          <w14:textFill>
            <w14:solidFill>
              <w14:schemeClr w14:val="tx1"/>
            </w14:solidFill>
          </w14:textFill>
        </w:rPr>
        <w:t>。</w:t>
      </w:r>
    </w:p>
    <w:p w14:paraId="7EA43DAA">
      <w:pPr>
        <w:rPr>
          <w:rFonts w:hint="eastAsia" w:ascii="仿宋_GB2312" w:hAnsi="仿宋_GB2312" w:eastAsia="仿宋_GB2312" w:cs="仿宋_GB2312"/>
          <w:b/>
          <w:bCs/>
          <w:snapToGrid w:val="0"/>
          <w:spacing w:val="0"/>
          <w:kern w:val="0"/>
          <w:sz w:val="30"/>
          <w:szCs w:val="30"/>
        </w:rPr>
      </w:pPr>
    </w:p>
    <w:p w14:paraId="7F61A750">
      <w:pPr>
        <w:rPr>
          <w:rFonts w:hint="eastAsia" w:ascii="仿宋_GB2312" w:hAnsi="仿宋_GB2312" w:eastAsia="仿宋_GB2312" w:cs="仿宋_GB2312"/>
          <w:b/>
          <w:bCs/>
          <w:snapToGrid w:val="0"/>
          <w:spacing w:val="0"/>
          <w:kern w:val="0"/>
          <w:sz w:val="30"/>
          <w:szCs w:val="30"/>
        </w:rPr>
      </w:pPr>
      <w:r>
        <w:rPr>
          <w:rFonts w:hint="eastAsia" w:ascii="仿宋_GB2312" w:hAnsi="仿宋_GB2312" w:eastAsia="仿宋_GB2312" w:cs="仿宋_GB2312"/>
          <w:b/>
          <w:bCs/>
          <w:snapToGrid w:val="0"/>
          <w:spacing w:val="0"/>
          <w:kern w:val="0"/>
          <w:sz w:val="30"/>
          <w:szCs w:val="30"/>
        </w:rPr>
        <w:br w:type="page"/>
      </w:r>
    </w:p>
    <w:p w14:paraId="3D64CCF8">
      <w:pPr>
        <w:keepNext w:val="0"/>
        <w:keepLines w:val="0"/>
        <w:pageBreakBefore w:val="0"/>
        <w:widowControl w:val="0"/>
        <w:kinsoku/>
        <w:wordWrap/>
        <w:overflowPunct/>
        <w:topLinePunct w:val="0"/>
        <w:autoSpaceDE/>
        <w:autoSpaceDN/>
        <w:bidi w:val="0"/>
        <w:adjustRightIn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bookmarkStart w:id="26" w:name="heading_42"/>
    </w:p>
    <w:p w14:paraId="50B1C8C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小标宋_GBK" w:hAnsi="方正小标宋_GBK" w:eastAsia="方正小标宋_GBK" w:cs="方正小标宋_GBK"/>
          <w:color w:val="000000" w:themeColor="text1"/>
          <w:spacing w:val="11"/>
          <w:sz w:val="44"/>
          <w:szCs w:val="44"/>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pacing w:val="11"/>
          <w:sz w:val="44"/>
          <w:szCs w:val="44"/>
          <w:lang w:val="en-US" w:eastAsia="zh-CN"/>
          <w14:textFill>
            <w14:solidFill>
              <w14:schemeClr w14:val="tx1"/>
            </w14:solidFill>
          </w14:textFill>
        </w:rPr>
        <w:t>第七章  应急处置规范</w:t>
      </w:r>
      <w:bookmarkEnd w:id="26"/>
    </w:p>
    <w:p w14:paraId="14F74E0B">
      <w:pPr>
        <w:keepNext w:val="0"/>
        <w:keepLines w:val="0"/>
        <w:pageBreakBefore w:val="0"/>
        <w:widowControl w:val="0"/>
        <w:kinsoku/>
        <w:wordWrap/>
        <w:overflowPunct/>
        <w:topLinePunct w:val="0"/>
        <w:autoSpaceDE/>
        <w:autoSpaceDN/>
        <w:bidi w:val="0"/>
        <w:adjustRightInd/>
        <w:snapToGrid/>
        <w:spacing w:line="52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bookmarkStart w:id="27" w:name="heading_43"/>
    </w:p>
    <w:p w14:paraId="0D6FEDE7">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黑体" w:hAnsi="黑体" w:eastAsia="黑体" w:cs="黑体"/>
          <w:color w:val="000000" w:themeColor="text1"/>
          <w:spacing w:val="0"/>
          <w:kern w:val="0"/>
          <w:sz w:val="32"/>
          <w:szCs w:val="32"/>
          <w14:textFill>
            <w14:solidFill>
              <w14:schemeClr w14:val="tx1"/>
            </w14:solidFill>
          </w14:textFill>
        </w:rPr>
      </w:pPr>
      <w:r>
        <w:rPr>
          <w:rFonts w:hint="eastAsia" w:ascii="黑体" w:hAnsi="黑体" w:eastAsia="黑体" w:cs="黑体"/>
          <w:color w:val="000000" w:themeColor="text1"/>
          <w:spacing w:val="0"/>
          <w:kern w:val="0"/>
          <w:sz w:val="32"/>
          <w:szCs w:val="32"/>
          <w14:textFill>
            <w14:solidFill>
              <w14:schemeClr w14:val="tx1"/>
            </w14:solidFill>
          </w14:textFill>
        </w:rPr>
        <w:t>一、适用范围</w:t>
      </w:r>
      <w:bookmarkEnd w:id="27"/>
    </w:p>
    <w:p w14:paraId="76559714">
      <w:pPr>
        <w:keepNext w:val="0"/>
        <w:keepLines w:val="0"/>
        <w:pageBreakBefore w:val="0"/>
        <w:widowControl w:val="0"/>
        <w:kinsoku/>
        <w:wordWrap/>
        <w:overflowPunct/>
        <w:topLinePunct w:val="0"/>
        <w:autoSpaceDE/>
        <w:autoSpaceDN/>
        <w:bidi w:val="0"/>
        <w:adjustRightIn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公安机关、民政等部门送治的急性精神障碍发作患者；院内突发的患者自伤、伤人、冲动行为；其他需要紧急处置的精神卫生突发事件。</w:t>
      </w:r>
    </w:p>
    <w:p w14:paraId="578A0B4F">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黑体" w:hAnsi="黑体" w:eastAsia="黑体" w:cs="黑体"/>
          <w:color w:val="000000" w:themeColor="text1"/>
          <w:spacing w:val="0"/>
          <w:kern w:val="0"/>
          <w:sz w:val="32"/>
          <w:szCs w:val="32"/>
          <w14:textFill>
            <w14:solidFill>
              <w14:schemeClr w14:val="tx1"/>
            </w14:solidFill>
          </w14:textFill>
        </w:rPr>
      </w:pPr>
      <w:r>
        <w:rPr>
          <w:rFonts w:hint="eastAsia" w:ascii="黑体" w:hAnsi="黑体" w:eastAsia="黑体" w:cs="黑体"/>
          <w:color w:val="000000" w:themeColor="text1"/>
          <w:spacing w:val="0"/>
          <w:kern w:val="0"/>
          <w:sz w:val="32"/>
          <w:szCs w:val="32"/>
          <w14:textFill>
            <w14:solidFill>
              <w14:schemeClr w14:val="tx1"/>
            </w14:solidFill>
          </w14:textFill>
        </w:rPr>
        <w:t>二、院前救护车管理</w:t>
      </w:r>
    </w:p>
    <w:p w14:paraId="303A3E5D">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（一）实行院前急救统一调度</w:t>
      </w:r>
    </w:p>
    <w:p w14:paraId="0DEB987D">
      <w:pPr>
        <w:keepNext w:val="0"/>
        <w:keepLines w:val="0"/>
        <w:pageBreakBefore w:val="0"/>
        <w:widowControl w:val="0"/>
        <w:kinsoku/>
        <w:wordWrap/>
        <w:overflowPunct/>
        <w:topLinePunct w:val="0"/>
        <w:autoSpaceDE/>
        <w:autoSpaceDN/>
        <w:bidi w:val="0"/>
        <w:adjustRightIn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院前医疗急救实行全国统一“</w:t>
      </w:r>
      <w:r>
        <w:rPr>
          <w:rFonts w:hint="eastAsia" w:ascii="Times New Roman" w:hAnsi="Times New Roman" w:eastAsia="仿宋_GB2312" w:cs="仿宋_GB2312"/>
          <w:color w:val="000000" w:themeColor="text1"/>
          <w:kern w:val="0"/>
          <w:sz w:val="32"/>
          <w:szCs w:val="32"/>
          <w14:textFill>
            <w14:solidFill>
              <w14:schemeClr w14:val="tx1"/>
            </w14:solidFill>
          </w14:textFill>
        </w:rPr>
        <w:t>120</w:t>
      </w:r>
      <w:r>
        <w:rPr>
          <w:rFonts w:hint="eastAsia" w:ascii="仿宋_GB2312" w:hAnsi="仿宋_GB2312" w:eastAsia="仿宋_GB2312" w:cs="仿宋_GB2312"/>
          <w:color w:val="000000" w:themeColor="text1"/>
          <w:kern w:val="0"/>
          <w:sz w:val="32"/>
          <w:szCs w:val="32"/>
          <w14:textFill>
            <w14:solidFill>
              <w14:schemeClr w14:val="tx1"/>
            </w14:solidFill>
          </w14:textFill>
        </w:rPr>
        <w:t>”呼叫号码，属地统一指挥调度。精神卫生医疗机构是否纳入当地院前急救网络，由设区的市级卫生健康行政部门按照院前急救网络规划统一确定。精神卫生医疗机构纳入当地院前急救网络的，其院前急救救护车应当严格服从急救中心统一调度指挥，不得自行出车开展院前医疗急救活动；未纳入当地院前急救网络的，不得使用救护车开展院前医疗急救活动。</w:t>
      </w:r>
    </w:p>
    <w:p w14:paraId="4FE922D4">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（二）坚持救护车专车专用</w:t>
      </w:r>
    </w:p>
    <w:p w14:paraId="2B494765">
      <w:pPr>
        <w:keepNext w:val="0"/>
        <w:keepLines w:val="0"/>
        <w:pageBreakBefore w:val="0"/>
        <w:widowControl w:val="0"/>
        <w:kinsoku/>
        <w:wordWrap/>
        <w:overflowPunct/>
        <w:topLinePunct w:val="0"/>
        <w:autoSpaceDE/>
        <w:autoSpaceDN/>
        <w:bidi w:val="0"/>
        <w:adjustRightIn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救护车应当按照核准用途专车专用，不得挪作他用。出院转运、康复转诊等非急救类转运服务，按照《湖北省非急救转运服务管理办法》规定由专门机构承担，医疗机构救护车不得从事</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精神疾病患者</w:t>
      </w:r>
      <w:r>
        <w:rPr>
          <w:rFonts w:hint="eastAsia" w:ascii="仿宋_GB2312" w:hAnsi="仿宋_GB2312" w:eastAsia="仿宋_GB2312" w:cs="仿宋_GB2312"/>
          <w:color w:val="000000" w:themeColor="text1"/>
          <w:kern w:val="0"/>
          <w:sz w:val="32"/>
          <w:szCs w:val="32"/>
          <w14:textFill>
            <w14:solidFill>
              <w14:schemeClr w14:val="tx1"/>
            </w14:solidFill>
          </w14:textFill>
        </w:rPr>
        <w:t>转运经营活动。</w:t>
      </w:r>
    </w:p>
    <w:p w14:paraId="78EC7195">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（三）明确送诊与接收职责边界</w:t>
      </w:r>
    </w:p>
    <w:p w14:paraId="0D141AB7">
      <w:pPr>
        <w:keepNext w:val="0"/>
        <w:keepLines w:val="0"/>
        <w:pageBreakBefore w:val="0"/>
        <w:widowControl w:val="0"/>
        <w:kinsoku/>
        <w:wordWrap/>
        <w:overflowPunct/>
        <w:topLinePunct w:val="0"/>
        <w:autoSpaceDE/>
        <w:autoSpaceDN/>
        <w:bidi w:val="0"/>
        <w:adjustRightIn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根据《中华人民共和国精神卫生法》规定，精神障碍患者的送诊主体</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包括</w:t>
      </w:r>
      <w:r>
        <w:rPr>
          <w:rFonts w:hint="eastAsia" w:ascii="仿宋_GB2312" w:hAnsi="仿宋_GB2312" w:eastAsia="仿宋_GB2312" w:cs="仿宋_GB2312"/>
          <w:color w:val="000000" w:themeColor="text1"/>
          <w:kern w:val="0"/>
          <w:sz w:val="32"/>
          <w:szCs w:val="32"/>
          <w14:textFill>
            <w14:solidFill>
              <w14:schemeClr w14:val="tx1"/>
            </w14:solidFill>
          </w14:textFill>
        </w:rPr>
        <w:t>患者近亲属、所在单位、当地公安机关及民政等有关部门，医疗机构为接收主体，不承担主动外出接诊职责。医疗机构接到送诊的疑似精神障碍患者，不得拒绝为其作出诊断。</w:t>
      </w:r>
    </w:p>
    <w:p w14:paraId="6DADD602">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color w:val="000000" w:themeColor="text1"/>
          <w:spacing w:val="0"/>
          <w:kern w:val="0"/>
          <w:sz w:val="32"/>
          <w:szCs w:val="32"/>
          <w14:textFill>
            <w14:solidFill>
              <w14:schemeClr w14:val="tx1"/>
            </w14:solidFill>
          </w14:textFill>
        </w:rPr>
        <w:t>（四）规范接收交接程序</w:t>
      </w:r>
    </w:p>
    <w:p w14:paraId="21C372F6">
      <w:pPr>
        <w:keepNext w:val="0"/>
        <w:keepLines w:val="0"/>
        <w:pageBreakBefore w:val="0"/>
        <w:widowControl w:val="0"/>
        <w:kinsoku/>
        <w:wordWrap/>
        <w:overflowPunct/>
        <w:topLinePunct w:val="0"/>
        <w:autoSpaceDE/>
        <w:autoSpaceDN/>
        <w:bidi w:val="0"/>
        <w:adjustRightIn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患者送达后，医疗机构应当立即启动入院评估与交接程序，规范登记送诊人员身份、送诊事由及患者基本信息，做好交接记录。</w:t>
      </w:r>
    </w:p>
    <w:p w14:paraId="343756FF">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黑体" w:hAnsi="黑体" w:eastAsia="黑体" w:cs="黑体"/>
          <w:color w:val="000000" w:themeColor="text1"/>
          <w:spacing w:val="0"/>
          <w:kern w:val="0"/>
          <w:sz w:val="32"/>
          <w:szCs w:val="32"/>
          <w14:textFill>
            <w14:solidFill>
              <w14:schemeClr w14:val="tx1"/>
            </w14:solidFill>
          </w14:textFill>
        </w:rPr>
      </w:pPr>
      <w:bookmarkStart w:id="28" w:name="heading_79"/>
      <w:bookmarkStart w:id="29" w:name="heading_48"/>
      <w:r>
        <w:rPr>
          <w:rFonts w:hint="eastAsia" w:ascii="黑体" w:hAnsi="黑体" w:eastAsia="黑体" w:cs="黑体"/>
          <w:color w:val="000000" w:themeColor="text1"/>
          <w:spacing w:val="0"/>
          <w:kern w:val="0"/>
          <w:sz w:val="32"/>
          <w:szCs w:val="32"/>
          <w14:textFill>
            <w14:solidFill>
              <w14:schemeClr w14:val="tx1"/>
            </w14:solidFill>
          </w14:textFill>
        </w:rPr>
        <w:t>三、院内应急响应机制</w:t>
      </w:r>
      <w:bookmarkEnd w:id="28"/>
    </w:p>
    <w:p w14:paraId="3621871B">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bookmarkStart w:id="30" w:name="heading_80"/>
      <w:r>
        <w:rPr>
          <w:rFonts w:hint="eastAsia" w:ascii="楷体_GB2312" w:hAnsi="楷体_GB2312" w:eastAsia="楷体_GB2312" w:cs="楷体_GB2312"/>
          <w:color w:val="000000" w:themeColor="text1"/>
          <w:spacing w:val="0"/>
          <w:kern w:val="0"/>
          <w:sz w:val="32"/>
          <w:szCs w:val="32"/>
          <w14:textFill>
            <w14:solidFill>
              <w14:schemeClr w14:val="tx1"/>
            </w14:solidFill>
          </w14:textFill>
        </w:rPr>
        <w:t>（一）接报与响应启动</w:t>
      </w:r>
      <w:bookmarkEnd w:id="30"/>
    </w:p>
    <w:p w14:paraId="5B5B72F9">
      <w:pPr>
        <w:keepNext w:val="0"/>
        <w:keepLines w:val="0"/>
        <w:pageBreakBefore w:val="0"/>
        <w:widowControl w:val="0"/>
        <w:kinsoku/>
        <w:wordWrap/>
        <w:overflowPunct/>
        <w:topLinePunct w:val="0"/>
        <w:autoSpaceDE/>
        <w:autoSpaceDN/>
        <w:bidi w:val="0"/>
        <w:adjustRightIn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医疗机构接到公安、民政等部门的应急送治通知后，应当立即启动应急响应。成立应急处置小组，由精神科执业医师、护士、安保人员组成，明确各岗位职责。做好接收准备，确保接诊通道畅通。</w:t>
      </w:r>
    </w:p>
    <w:p w14:paraId="568A6ED4">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bookmarkStart w:id="31" w:name="heading_81"/>
      <w:r>
        <w:rPr>
          <w:rFonts w:hint="eastAsia" w:ascii="楷体_GB2312" w:hAnsi="楷体_GB2312" w:eastAsia="楷体_GB2312" w:cs="楷体_GB2312"/>
          <w:color w:val="000000" w:themeColor="text1"/>
          <w:spacing w:val="0"/>
          <w:kern w:val="0"/>
          <w:sz w:val="32"/>
          <w:szCs w:val="32"/>
          <w14:textFill>
            <w14:solidFill>
              <w14:schemeClr w14:val="tx1"/>
            </w14:solidFill>
          </w14:textFill>
        </w:rPr>
        <w:t>（二）患者接收与交接</w:t>
      </w:r>
      <w:bookmarkEnd w:id="31"/>
    </w:p>
    <w:p w14:paraId="538D9290">
      <w:pPr>
        <w:keepNext w:val="0"/>
        <w:keepLines w:val="0"/>
        <w:pageBreakBefore w:val="0"/>
        <w:widowControl w:val="0"/>
        <w:kinsoku/>
        <w:wordWrap/>
        <w:overflowPunct/>
        <w:topLinePunct w:val="0"/>
        <w:autoSpaceDE/>
        <w:autoSpaceDN/>
        <w:bidi w:val="0"/>
        <w:adjustRightIn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bookmarkStart w:id="32" w:name="heading_82"/>
      <w:r>
        <w:rPr>
          <w:rFonts w:hint="eastAsia" w:ascii="Times New Roman" w:hAnsi="Times New Roman" w:eastAsia="仿宋_GB2312" w:cs="仿宋_GB2312"/>
          <w:color w:val="000000" w:themeColor="text1"/>
          <w:kern w:val="0"/>
          <w:sz w:val="32"/>
          <w:szCs w:val="32"/>
          <w14:textFill>
            <w14:solidFill>
              <w14:schemeClr w14:val="tx1"/>
            </w14:solidFill>
          </w14:textFill>
        </w:rPr>
        <w:t>1</w:t>
      </w:r>
      <w:r>
        <w:rPr>
          <w:rFonts w:hint="eastAsia" w:ascii="仿宋_GB2312" w:hAnsi="仿宋_GB2312" w:eastAsia="仿宋_GB2312" w:cs="仿宋_GB2312"/>
          <w:color w:val="000000" w:themeColor="text1"/>
          <w:kern w:val="0"/>
          <w:sz w:val="32"/>
          <w:szCs w:val="32"/>
          <w14:textFill>
            <w14:solidFill>
              <w14:schemeClr w14:val="tx1"/>
            </w14:solidFill>
          </w14:textFill>
        </w:rPr>
        <w:t>.交接凭证</w:t>
      </w:r>
      <w:bookmarkEnd w:id="32"/>
    </w:p>
    <w:p w14:paraId="01909694">
      <w:pPr>
        <w:keepNext w:val="0"/>
        <w:keepLines w:val="0"/>
        <w:pageBreakBefore w:val="0"/>
        <w:widowControl w:val="0"/>
        <w:kinsoku/>
        <w:wordWrap/>
        <w:overflowPunct/>
        <w:topLinePunct w:val="0"/>
        <w:autoSpaceDE/>
        <w:autoSpaceDN/>
        <w:bidi w:val="0"/>
        <w:adjustRightIn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bookmarkStart w:id="33" w:name="heading_83"/>
      <w:r>
        <w:rPr>
          <w:rFonts w:hint="eastAsia" w:ascii="仿宋_GB2312" w:hAnsi="仿宋_GB2312" w:eastAsia="仿宋_GB2312" w:cs="仿宋_GB2312"/>
          <w:color w:val="000000" w:themeColor="text1"/>
          <w:kern w:val="0"/>
          <w:sz w:val="32"/>
          <w:szCs w:val="32"/>
          <w14:textFill>
            <w14:solidFill>
              <w14:schemeClr w14:val="tx1"/>
            </w14:solidFill>
          </w14:textFill>
        </w:rPr>
        <w:t>所有送诊患者须填写《应急处置单》或专用交接单，载明送诊单位、原因、初步情况、交接人员及时间，并由双方签字确认。</w:t>
      </w:r>
    </w:p>
    <w:p w14:paraId="6005AC0C">
      <w:pPr>
        <w:keepNext w:val="0"/>
        <w:keepLines w:val="0"/>
        <w:pageBreakBefore w:val="0"/>
        <w:widowControl w:val="0"/>
        <w:kinsoku/>
        <w:wordWrap/>
        <w:overflowPunct/>
        <w:topLinePunct w:val="0"/>
        <w:autoSpaceDE/>
        <w:autoSpaceDN/>
        <w:bidi w:val="0"/>
        <w:adjustRightIn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14:textFill>
            <w14:solidFill>
              <w14:schemeClr w14:val="tx1"/>
            </w14:solidFill>
          </w14:textFill>
        </w:rPr>
        <w:t>2</w:t>
      </w:r>
      <w:r>
        <w:rPr>
          <w:rFonts w:hint="eastAsia" w:ascii="仿宋_GB2312" w:hAnsi="仿宋_GB2312" w:eastAsia="仿宋_GB2312" w:cs="仿宋_GB2312"/>
          <w:color w:val="000000" w:themeColor="text1"/>
          <w:kern w:val="0"/>
          <w:sz w:val="32"/>
          <w:szCs w:val="32"/>
          <w14:textFill>
            <w14:solidFill>
              <w14:schemeClr w14:val="tx1"/>
            </w14:solidFill>
          </w14:textFill>
        </w:rPr>
        <w:t>.交接内容</w:t>
      </w:r>
      <w:bookmarkEnd w:id="33"/>
    </w:p>
    <w:p w14:paraId="5C5CDDD7">
      <w:pPr>
        <w:keepNext w:val="0"/>
        <w:keepLines w:val="0"/>
        <w:pageBreakBefore w:val="0"/>
        <w:widowControl w:val="0"/>
        <w:kinsoku/>
        <w:wordWrap/>
        <w:overflowPunct/>
        <w:topLinePunct w:val="0"/>
        <w:autoSpaceDE/>
        <w:autoSpaceDN/>
        <w:bidi w:val="0"/>
        <w:adjustRightIn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《应急处置单》填写要素包括：①患者基本信息（姓名、性别、年龄、身份信息）；②送诊原因及简要情况；③送诊主体（单位/部门）；④执行人员姓名及联系方式；⑤交接时间；⑥双方签字确认。</w:t>
      </w:r>
    </w:p>
    <w:p w14:paraId="1A01A22A">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黑体" w:hAnsi="黑体" w:eastAsia="黑体" w:cs="黑体"/>
          <w:color w:val="000000" w:themeColor="text1"/>
          <w:spacing w:val="0"/>
          <w:kern w:val="0"/>
          <w:sz w:val="32"/>
          <w:szCs w:val="32"/>
          <w14:textFill>
            <w14:solidFill>
              <w14:schemeClr w14:val="tx1"/>
            </w14:solidFill>
          </w14:textFill>
        </w:rPr>
      </w:pPr>
      <w:r>
        <w:rPr>
          <w:rFonts w:hint="eastAsia" w:ascii="黑体" w:hAnsi="黑体" w:eastAsia="黑体" w:cs="黑体"/>
          <w:color w:val="000000" w:themeColor="text1"/>
          <w:spacing w:val="0"/>
          <w:kern w:val="0"/>
          <w:sz w:val="32"/>
          <w:szCs w:val="32"/>
          <w14:textFill>
            <w14:solidFill>
              <w14:schemeClr w14:val="tx1"/>
            </w14:solidFill>
          </w14:textFill>
        </w:rPr>
        <w:t>四、院内紧急收治流程</w:t>
      </w:r>
      <w:bookmarkEnd w:id="29"/>
    </w:p>
    <w:p w14:paraId="1B2D74E1">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bookmarkStart w:id="34" w:name="heading_49"/>
      <w:r>
        <w:rPr>
          <w:rFonts w:hint="eastAsia" w:ascii="楷体_GB2312" w:hAnsi="楷体_GB2312" w:eastAsia="楷体_GB2312" w:cs="楷体_GB2312"/>
          <w:color w:val="000000" w:themeColor="text1"/>
          <w:spacing w:val="0"/>
          <w:kern w:val="0"/>
          <w:sz w:val="32"/>
          <w:szCs w:val="32"/>
          <w14:textFill>
            <w14:solidFill>
              <w14:schemeClr w14:val="tx1"/>
            </w14:solidFill>
          </w14:textFill>
        </w:rPr>
        <w:t>（一）诊断评估</w:t>
      </w:r>
      <w:bookmarkEnd w:id="34"/>
    </w:p>
    <w:p w14:paraId="64F66134">
      <w:pPr>
        <w:keepNext w:val="0"/>
        <w:keepLines w:val="0"/>
        <w:pageBreakBefore w:val="0"/>
        <w:widowControl w:val="0"/>
        <w:kinsoku/>
        <w:wordWrap/>
        <w:overflowPunct/>
        <w:topLinePunct w:val="0"/>
        <w:autoSpaceDE/>
        <w:autoSpaceDN/>
        <w:bidi w:val="0"/>
        <w:adjustRightIn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应急送治患者到达后，优先安排就诊通道。精神科执业医师须及时完成初步诊断评估，重点判断患者是否为精神障碍</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及其诊断</w:t>
      </w:r>
      <w:r>
        <w:rPr>
          <w:rFonts w:hint="eastAsia" w:ascii="仿宋_GB2312" w:hAnsi="仿宋_GB2312" w:eastAsia="仿宋_GB2312" w:cs="仿宋_GB2312"/>
          <w:color w:val="000000" w:themeColor="text1"/>
          <w:kern w:val="0"/>
          <w:sz w:val="32"/>
          <w:szCs w:val="32"/>
          <w14:textFill>
            <w14:solidFill>
              <w14:schemeClr w14:val="tx1"/>
            </w14:solidFill>
          </w14:textFill>
        </w:rPr>
        <w:t>、当前有无伤害自身或者危害他人安全的行为及危险，并据此作出紧急处置决定：需要紧急入院观察或者住院治疗的，立即安排；暂不符合入院指征的，提出处置和随诊建议，由监护人或送诊主体带回。经评估</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若病情</w:t>
      </w:r>
      <w:r>
        <w:rPr>
          <w:rFonts w:hint="eastAsia" w:ascii="仿宋_GB2312" w:hAnsi="仿宋_GB2312" w:eastAsia="仿宋_GB2312" w:cs="仿宋_GB2312"/>
          <w:color w:val="000000" w:themeColor="text1"/>
          <w:kern w:val="0"/>
          <w:sz w:val="32"/>
          <w:szCs w:val="32"/>
          <w14:textFill>
            <w14:solidFill>
              <w14:schemeClr w14:val="tx1"/>
            </w14:solidFill>
          </w14:textFill>
        </w:rPr>
        <w:t>超出</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所在</w:t>
      </w:r>
      <w:r>
        <w:rPr>
          <w:rFonts w:hint="eastAsia" w:ascii="仿宋_GB2312" w:hAnsi="仿宋_GB2312" w:eastAsia="仿宋_GB2312" w:cs="仿宋_GB2312"/>
          <w:color w:val="000000" w:themeColor="text1"/>
          <w:kern w:val="0"/>
          <w:sz w:val="32"/>
          <w:szCs w:val="32"/>
          <w14:textFill>
            <w14:solidFill>
              <w14:schemeClr w14:val="tx1"/>
            </w14:solidFill>
          </w14:textFill>
        </w:rPr>
        <w:t>机构救治能力范围，应及时</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联系上级医疗机构会诊或</w:t>
      </w:r>
      <w:r>
        <w:rPr>
          <w:rFonts w:hint="eastAsia" w:ascii="仿宋_GB2312" w:hAnsi="仿宋_GB2312" w:eastAsia="仿宋_GB2312" w:cs="仿宋_GB2312"/>
          <w:color w:val="000000" w:themeColor="text1"/>
          <w:kern w:val="0"/>
          <w:sz w:val="32"/>
          <w:szCs w:val="32"/>
          <w14:textFill>
            <w14:solidFill>
              <w14:schemeClr w14:val="tx1"/>
            </w14:solidFill>
          </w14:textFill>
        </w:rPr>
        <w:t>转诊至具备相应救治能力的医疗机构。</w:t>
      </w:r>
    </w:p>
    <w:p w14:paraId="4D670C0A">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bookmarkStart w:id="35" w:name="heading_50"/>
      <w:r>
        <w:rPr>
          <w:rFonts w:hint="eastAsia" w:ascii="楷体_GB2312" w:hAnsi="楷体_GB2312" w:eastAsia="楷体_GB2312" w:cs="楷体_GB2312"/>
          <w:color w:val="000000" w:themeColor="text1"/>
          <w:spacing w:val="0"/>
          <w:kern w:val="0"/>
          <w:sz w:val="32"/>
          <w:szCs w:val="32"/>
          <w14:textFill>
            <w14:solidFill>
              <w14:schemeClr w14:val="tx1"/>
            </w14:solidFill>
          </w14:textFill>
        </w:rPr>
        <w:t>（二）收治决策</w:t>
      </w:r>
      <w:bookmarkEnd w:id="35"/>
    </w:p>
    <w:p w14:paraId="55B12677">
      <w:pPr>
        <w:keepNext w:val="0"/>
        <w:keepLines w:val="0"/>
        <w:pageBreakBefore w:val="0"/>
        <w:widowControl w:val="0"/>
        <w:kinsoku/>
        <w:wordWrap/>
        <w:overflowPunct/>
        <w:topLinePunct w:val="0"/>
        <w:autoSpaceDE/>
        <w:autoSpaceDN/>
        <w:bidi w:val="0"/>
        <w:adjustRightIn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14:textFill>
            <w14:solidFill>
              <w14:schemeClr w14:val="tx1"/>
            </w14:solidFill>
          </w14:textFill>
        </w:rPr>
        <w:t>1</w:t>
      </w:r>
      <w:r>
        <w:rPr>
          <w:rFonts w:hint="eastAsia" w:ascii="仿宋_GB2312" w:hAnsi="仿宋_GB2312" w:eastAsia="仿宋_GB2312" w:cs="仿宋_GB2312"/>
          <w:color w:val="000000" w:themeColor="text1"/>
          <w:kern w:val="0"/>
          <w:sz w:val="32"/>
          <w:szCs w:val="32"/>
          <w14:textFill>
            <w14:solidFill>
              <w14:schemeClr w14:val="tx1"/>
            </w14:solidFill>
          </w14:textFill>
        </w:rPr>
        <w:t>.符合非自愿住院条件</w:t>
      </w:r>
    </w:p>
    <w:p w14:paraId="7C06A44B">
      <w:pPr>
        <w:keepNext w:val="0"/>
        <w:keepLines w:val="0"/>
        <w:pageBreakBefore w:val="0"/>
        <w:widowControl w:val="0"/>
        <w:kinsoku/>
        <w:wordWrap/>
        <w:overflowPunct/>
        <w:topLinePunct w:val="0"/>
        <w:autoSpaceDE/>
        <w:autoSpaceDN/>
        <w:bidi w:val="0"/>
        <w:adjustRightIn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按照《中华人民共和国精神卫生法》第三十条至第三十二条规定办理非自愿住院手续。</w:t>
      </w:r>
    </w:p>
    <w:p w14:paraId="27EFECAE">
      <w:pPr>
        <w:keepNext w:val="0"/>
        <w:keepLines w:val="0"/>
        <w:pageBreakBefore w:val="0"/>
        <w:widowControl w:val="0"/>
        <w:kinsoku/>
        <w:wordWrap/>
        <w:overflowPunct/>
        <w:topLinePunct w:val="0"/>
        <w:autoSpaceDE/>
        <w:autoSpaceDN/>
        <w:bidi w:val="0"/>
        <w:adjustRightIn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14:textFill>
            <w14:solidFill>
              <w14:schemeClr w14:val="tx1"/>
            </w14:solidFill>
          </w14:textFill>
        </w:rPr>
        <w:t>2</w:t>
      </w:r>
      <w:r>
        <w:rPr>
          <w:rFonts w:hint="eastAsia" w:ascii="仿宋_GB2312" w:hAnsi="仿宋_GB2312" w:eastAsia="仿宋_GB2312" w:cs="仿宋_GB2312"/>
          <w:color w:val="000000" w:themeColor="text1"/>
          <w:kern w:val="0"/>
          <w:sz w:val="32"/>
          <w:szCs w:val="32"/>
          <w14:textFill>
            <w14:solidFill>
              <w14:schemeClr w14:val="tx1"/>
            </w14:solidFill>
          </w14:textFill>
        </w:rPr>
        <w:t>.紧急入院观察</w:t>
      </w:r>
    </w:p>
    <w:p w14:paraId="2D4511AB">
      <w:pPr>
        <w:keepNext w:val="0"/>
        <w:keepLines w:val="0"/>
        <w:pageBreakBefore w:val="0"/>
        <w:widowControl w:val="0"/>
        <w:kinsoku/>
        <w:wordWrap/>
        <w:overflowPunct/>
        <w:topLinePunct w:val="0"/>
        <w:autoSpaceDE/>
        <w:autoSpaceDN/>
        <w:bidi w:val="0"/>
        <w:adjustRightIn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无法立即作出诊断结论的，按照《中华人民共和国精神卫生法》第二十八条规定实施紧急入院观察。观察期间每日评估病情，观察期满（一般</w:t>
      </w:r>
      <w:r>
        <w:rPr>
          <w:rFonts w:hint="eastAsia" w:ascii="Times New Roman" w:hAnsi="Times New Roman" w:eastAsia="仿宋_GB2312" w:cs="仿宋_GB2312"/>
          <w:color w:val="000000" w:themeColor="text1"/>
          <w:kern w:val="0"/>
          <w:sz w:val="32"/>
          <w:szCs w:val="32"/>
          <w14:textFill>
            <w14:solidFill>
              <w14:schemeClr w14:val="tx1"/>
            </w14:solidFill>
          </w14:textFill>
        </w:rPr>
        <w:t>72</w:t>
      </w:r>
      <w:r>
        <w:rPr>
          <w:rFonts w:hint="eastAsia" w:ascii="仿宋_GB2312" w:hAnsi="仿宋_GB2312" w:eastAsia="仿宋_GB2312" w:cs="仿宋_GB2312"/>
          <w:color w:val="000000" w:themeColor="text1"/>
          <w:kern w:val="0"/>
          <w:sz w:val="32"/>
          <w:szCs w:val="32"/>
          <w14:textFill>
            <w14:solidFill>
              <w14:schemeClr w14:val="tx1"/>
            </w14:solidFill>
          </w14:textFill>
        </w:rPr>
        <w:t>小时，疑难病例可延长至</w:t>
      </w:r>
      <w:r>
        <w:rPr>
          <w:rFonts w:hint="eastAsia" w:ascii="Times New Roman" w:hAnsi="Times New Roman" w:eastAsia="仿宋_GB2312" w:cs="仿宋_GB2312"/>
          <w:color w:val="000000" w:themeColor="text1"/>
          <w:kern w:val="0"/>
          <w:sz w:val="32"/>
          <w:szCs w:val="32"/>
          <w14:textFill>
            <w14:solidFill>
              <w14:schemeClr w14:val="tx1"/>
            </w14:solidFill>
          </w14:textFill>
        </w:rPr>
        <w:t>14</w:t>
      </w:r>
      <w:r>
        <w:rPr>
          <w:rFonts w:hint="eastAsia" w:ascii="仿宋_GB2312" w:hAnsi="仿宋_GB2312" w:eastAsia="仿宋_GB2312" w:cs="仿宋_GB2312"/>
          <w:color w:val="000000" w:themeColor="text1"/>
          <w:kern w:val="0"/>
          <w:sz w:val="32"/>
          <w:szCs w:val="32"/>
          <w14:textFill>
            <w14:solidFill>
              <w14:schemeClr w14:val="tx1"/>
            </w14:solidFill>
          </w14:textFill>
        </w:rPr>
        <w:t>天）作出正式诊断和收治决策。</w:t>
      </w:r>
    </w:p>
    <w:p w14:paraId="79C6A94F">
      <w:pPr>
        <w:keepNext w:val="0"/>
        <w:keepLines w:val="0"/>
        <w:pageBreakBefore w:val="0"/>
        <w:widowControl w:val="0"/>
        <w:kinsoku/>
        <w:wordWrap/>
        <w:overflowPunct/>
        <w:topLinePunct w:val="0"/>
        <w:autoSpaceDE/>
        <w:autoSpaceDN/>
        <w:bidi w:val="0"/>
        <w:adjustRightIn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14:textFill>
            <w14:solidFill>
              <w14:schemeClr w14:val="tx1"/>
            </w14:solidFill>
          </w14:textFill>
        </w:rPr>
        <w:t>3</w:t>
      </w:r>
      <w:r>
        <w:rPr>
          <w:rFonts w:hint="eastAsia" w:ascii="仿宋_GB2312" w:hAnsi="仿宋_GB2312" w:eastAsia="仿宋_GB2312" w:cs="仿宋_GB2312"/>
          <w:color w:val="000000" w:themeColor="text1"/>
          <w:kern w:val="0"/>
          <w:sz w:val="32"/>
          <w:szCs w:val="32"/>
          <w14:textFill>
            <w14:solidFill>
              <w14:schemeClr w14:val="tx1"/>
            </w14:solidFill>
          </w14:textFill>
        </w:rPr>
        <w:t>.不符合住院条件</w:t>
      </w:r>
    </w:p>
    <w:p w14:paraId="5CF62FD1">
      <w:pPr>
        <w:keepNext w:val="0"/>
        <w:keepLines w:val="0"/>
        <w:pageBreakBefore w:val="0"/>
        <w:widowControl w:val="0"/>
        <w:kinsoku/>
        <w:wordWrap/>
        <w:overflowPunct/>
        <w:topLinePunct w:val="0"/>
        <w:autoSpaceDE/>
        <w:autoSpaceDN/>
        <w:bidi w:val="0"/>
        <w:adjustRightIn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排除精神障碍诊断或病情轻微无需住院的，及时联系家属或送治单位，说明情况并办理离院手续。</w:t>
      </w:r>
    </w:p>
    <w:p w14:paraId="132D1D87">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bookmarkStart w:id="36" w:name="heading_51"/>
      <w:r>
        <w:rPr>
          <w:rFonts w:hint="eastAsia" w:ascii="楷体_GB2312" w:hAnsi="楷体_GB2312" w:eastAsia="楷体_GB2312" w:cs="楷体_GB2312"/>
          <w:color w:val="000000" w:themeColor="text1"/>
          <w:spacing w:val="0"/>
          <w:kern w:val="0"/>
          <w:sz w:val="32"/>
          <w:szCs w:val="32"/>
          <w14:textFill>
            <w14:solidFill>
              <w14:schemeClr w14:val="tx1"/>
            </w14:solidFill>
          </w14:textFill>
        </w:rPr>
        <w:t>（三）文书要求</w:t>
      </w:r>
      <w:bookmarkEnd w:id="36"/>
    </w:p>
    <w:p w14:paraId="5B66627A">
      <w:pPr>
        <w:keepNext w:val="0"/>
        <w:keepLines w:val="0"/>
        <w:pageBreakBefore w:val="0"/>
        <w:widowControl w:val="0"/>
        <w:kinsoku/>
        <w:wordWrap/>
        <w:overflowPunct/>
        <w:topLinePunct w:val="0"/>
        <w:autoSpaceDE/>
        <w:autoSpaceDN/>
        <w:bidi w:val="0"/>
        <w:adjustRightIn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所有应急处置环节必须全程记录，包括：接警时间、响应时间、现场处置情况、评估记录、转运过程、交接手续、诊断结论。保护性约束措施必须记录实施原因、起止时间、实施人员、患者状态。</w:t>
      </w:r>
    </w:p>
    <w:p w14:paraId="1BFE3E25">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黑体" w:hAnsi="黑体" w:eastAsia="黑体" w:cs="黑体"/>
          <w:color w:val="000000" w:themeColor="text1"/>
          <w:spacing w:val="0"/>
          <w:kern w:val="0"/>
          <w:sz w:val="32"/>
          <w:szCs w:val="32"/>
          <w14:textFill>
            <w14:solidFill>
              <w14:schemeClr w14:val="tx1"/>
            </w14:solidFill>
          </w14:textFill>
        </w:rPr>
      </w:pPr>
      <w:bookmarkStart w:id="37" w:name="heading_52"/>
      <w:r>
        <w:rPr>
          <w:rFonts w:hint="eastAsia" w:ascii="黑体" w:hAnsi="黑体" w:eastAsia="黑体" w:cs="黑体"/>
          <w:color w:val="000000" w:themeColor="text1"/>
          <w:spacing w:val="0"/>
          <w:kern w:val="0"/>
          <w:sz w:val="32"/>
          <w:szCs w:val="32"/>
          <w14:textFill>
            <w14:solidFill>
              <w14:schemeClr w14:val="tx1"/>
            </w14:solidFill>
          </w14:textFill>
        </w:rPr>
        <w:t>五、强制医疗案件执行衔接</w:t>
      </w:r>
      <w:bookmarkEnd w:id="37"/>
    </w:p>
    <w:p w14:paraId="21E6FFD7">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bookmarkStart w:id="38" w:name="heading_53"/>
      <w:r>
        <w:rPr>
          <w:rFonts w:hint="eastAsia" w:ascii="楷体_GB2312" w:hAnsi="楷体_GB2312" w:eastAsia="楷体_GB2312" w:cs="楷体_GB2312"/>
          <w:color w:val="000000" w:themeColor="text1"/>
          <w:spacing w:val="0"/>
          <w:kern w:val="0"/>
          <w:sz w:val="32"/>
          <w:szCs w:val="32"/>
          <w14:textFill>
            <w14:solidFill>
              <w14:schemeClr w14:val="tx1"/>
            </w14:solidFill>
          </w14:textFill>
        </w:rPr>
        <w:t>（一）法院判决强制医疗的接收</w:t>
      </w:r>
      <w:bookmarkEnd w:id="38"/>
    </w:p>
    <w:p w14:paraId="09B7ECAE">
      <w:pPr>
        <w:keepNext w:val="0"/>
        <w:keepLines w:val="0"/>
        <w:pageBreakBefore w:val="0"/>
        <w:widowControl w:val="0"/>
        <w:kinsoku/>
        <w:wordWrap/>
        <w:overflowPunct/>
        <w:topLinePunct w:val="0"/>
        <w:autoSpaceDE/>
        <w:autoSpaceDN/>
        <w:bidi w:val="0"/>
        <w:adjustRightIn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实施暴力行为，危害公共安全或严重危害公民人身安全，经法定程序鉴定</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依法不负刑事责任的严重精神障碍患者，有继续危害社会可能的，依照法律规定实施强制医疗。承担强制医疗任务的医疗机构应当按照以下程序接收：</w:t>
      </w:r>
    </w:p>
    <w:p w14:paraId="5E809F7E">
      <w:pPr>
        <w:keepNext w:val="0"/>
        <w:keepLines w:val="0"/>
        <w:pageBreakBefore w:val="0"/>
        <w:widowControl w:val="0"/>
        <w:numPr>
          <w:ilvl w:val="0"/>
          <w:numId w:val="0"/>
        </w:numPr>
        <w:kinsoku/>
        <w:wordWrap/>
        <w:overflowPunct/>
        <w:topLinePunct w:val="0"/>
        <w:autoSpaceDE/>
        <w:autoSpaceDN/>
        <w:bidi w:val="0"/>
        <w:adjustRightIn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凭生效法律文书接收</w:t>
      </w:r>
    </w:p>
    <w:p w14:paraId="2F8A8914">
      <w:pPr>
        <w:keepNext w:val="0"/>
        <w:keepLines w:val="0"/>
        <w:pageBreakBefore w:val="0"/>
        <w:widowControl w:val="0"/>
        <w:kinsoku/>
        <w:wordWrap/>
        <w:overflowPunct/>
        <w:topLinePunct w:val="0"/>
        <w:autoSpaceDE/>
        <w:autoSpaceDN/>
        <w:bidi w:val="0"/>
        <w:adjustRightIn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医疗机构应当凭人民法院生效的强制医疗决定书</w:t>
      </w:r>
      <w:r>
        <w:rPr>
          <w:rFonts w:hint="eastAsia" w:ascii="仿宋_GB2312" w:hAnsi="仿宋_GB2312" w:eastAsia="仿宋_GB2312" w:cs="仿宋_GB2312"/>
          <w:b w:val="0"/>
          <w:bCs w:val="0"/>
          <w:color w:val="000000" w:themeColor="text1"/>
          <w:kern w:val="0"/>
          <w:sz w:val="32"/>
          <w:szCs w:val="32"/>
          <w14:textFill>
            <w14:solidFill>
              <w14:schemeClr w14:val="tx1"/>
            </w14:solidFill>
          </w14:textFill>
        </w:rPr>
        <w:t>或公安机关采取临时保护性医疗措施告知书</w:t>
      </w:r>
      <w:r>
        <w:rPr>
          <w:rFonts w:hint="eastAsia" w:ascii="仿宋_GB2312" w:hAnsi="仿宋_GB2312" w:eastAsia="仿宋_GB2312" w:cs="仿宋_GB2312"/>
          <w:color w:val="000000" w:themeColor="text1"/>
          <w:kern w:val="0"/>
          <w:sz w:val="32"/>
          <w:szCs w:val="32"/>
          <w14:textFill>
            <w14:solidFill>
              <w14:schemeClr w14:val="tx1"/>
            </w14:solidFill>
          </w14:textFill>
        </w:rPr>
        <w:t>接收患者，核对法律文书的真实性、有效性，留存复印件归档。</w:t>
      </w:r>
    </w:p>
    <w:p w14:paraId="3AA599E0">
      <w:pPr>
        <w:keepNext w:val="0"/>
        <w:keepLines w:val="0"/>
        <w:pageBreakBefore w:val="0"/>
        <w:widowControl w:val="0"/>
        <w:numPr>
          <w:ilvl w:val="0"/>
          <w:numId w:val="0"/>
        </w:numPr>
        <w:kinsoku/>
        <w:wordWrap/>
        <w:overflowPunct/>
        <w:topLinePunct w:val="0"/>
        <w:autoSpaceDE/>
        <w:autoSpaceDN/>
        <w:bidi w:val="0"/>
        <w:adjustRightIn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lang w:val="en-US" w:eastAsia="zh-CN" w:bidi="ar-SA"/>
          <w14:textFill>
            <w14:solidFill>
              <w14:schemeClr w14:val="tx1"/>
            </w14:solidFill>
          </w14:textFill>
        </w:rPr>
        <w:t>2</w:t>
      </w:r>
      <w:r>
        <w:rPr>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办理交接手续</w:t>
      </w:r>
    </w:p>
    <w:p w14:paraId="55E5D6D3">
      <w:pPr>
        <w:keepNext w:val="0"/>
        <w:keepLines w:val="0"/>
        <w:pageBreakBefore w:val="0"/>
        <w:widowControl w:val="0"/>
        <w:kinsoku/>
        <w:wordWrap/>
        <w:overflowPunct/>
        <w:topLinePunct w:val="0"/>
        <w:autoSpaceDE/>
        <w:autoSpaceDN/>
        <w:bidi w:val="0"/>
        <w:adjustRightIn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医疗机构应当与公安机关办理患者交接手续，签署《强制医疗患者交接确认书》，做好交接记录并存入病历。</w:t>
      </w:r>
    </w:p>
    <w:p w14:paraId="7841D363">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bookmarkStart w:id="39" w:name="heading_54"/>
      <w:r>
        <w:rPr>
          <w:rFonts w:hint="eastAsia" w:ascii="楷体_GB2312" w:hAnsi="楷体_GB2312" w:eastAsia="楷体_GB2312" w:cs="楷体_GB2312"/>
          <w:color w:val="000000" w:themeColor="text1"/>
          <w:spacing w:val="0"/>
          <w:kern w:val="0"/>
          <w:sz w:val="32"/>
          <w:szCs w:val="32"/>
          <w14:textFill>
            <w14:solidFill>
              <w14:schemeClr w14:val="tx1"/>
            </w14:solidFill>
          </w14:textFill>
        </w:rPr>
        <w:t>（二）强制医疗期间管理</w:t>
      </w:r>
      <w:bookmarkEnd w:id="39"/>
    </w:p>
    <w:p w14:paraId="58E067E5">
      <w:pPr>
        <w:keepNext w:val="0"/>
        <w:keepLines w:val="0"/>
        <w:pageBreakBefore w:val="0"/>
        <w:widowControl w:val="0"/>
        <w:kinsoku/>
        <w:wordWrap/>
        <w:overflowPunct/>
        <w:topLinePunct w:val="0"/>
        <w:autoSpaceDE/>
        <w:autoSpaceDN/>
        <w:bidi w:val="0"/>
        <w:adjustRightIn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严格按照《中华人民共和国刑事诉讼法》等法律法规及相关规定进行诊疗和管理。定期对患者病情进行评估，及时向决定机关报告治疗进展。解除强制医疗必须凭人民法院的解除强制医疗决定书方可执行。</w:t>
      </w:r>
    </w:p>
    <w:p w14:paraId="139ED4AB">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bookmarkStart w:id="40" w:name="heading_55"/>
      <w:r>
        <w:rPr>
          <w:rFonts w:hint="eastAsia" w:ascii="楷体_GB2312" w:hAnsi="楷体_GB2312" w:eastAsia="楷体_GB2312" w:cs="楷体_GB2312"/>
          <w:color w:val="000000" w:themeColor="text1"/>
          <w:spacing w:val="0"/>
          <w:kern w:val="0"/>
          <w:sz w:val="32"/>
          <w:szCs w:val="32"/>
          <w14:textFill>
            <w14:solidFill>
              <w14:schemeClr w14:val="tx1"/>
            </w14:solidFill>
          </w14:textFill>
        </w:rPr>
        <w:t>（三）司法配合义务</w:t>
      </w:r>
      <w:bookmarkEnd w:id="40"/>
    </w:p>
    <w:p w14:paraId="7C29D85A">
      <w:pPr>
        <w:keepNext w:val="0"/>
        <w:keepLines w:val="0"/>
        <w:pageBreakBefore w:val="0"/>
        <w:widowControl w:val="0"/>
        <w:kinsoku/>
        <w:wordWrap/>
        <w:overflowPunct/>
        <w:topLinePunct w:val="0"/>
        <w:autoSpaceDE/>
        <w:autoSpaceDN/>
        <w:bidi w:val="0"/>
        <w:adjustRightIn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配合司法机关的调查、庭审、鉴定等工作。按要求提供诊疗记录、病情评估报告等材料。接受检察机关的法律监督。</w:t>
      </w:r>
    </w:p>
    <w:p w14:paraId="16310F56">
      <w:pPr>
        <w:keepNext w:val="0"/>
        <w:keepLines w:val="0"/>
        <w:pageBreakBefore w:val="0"/>
        <w:widowControl w:val="0"/>
        <w:kinsoku/>
        <w:wordWrap/>
        <w:overflowPunct/>
        <w:topLinePunct w:val="0"/>
        <w:autoSpaceDE/>
        <w:autoSpaceDN/>
        <w:bidi w:val="0"/>
        <w:adjustRightInd/>
        <w:snapToGrid/>
        <w:spacing w:line="586" w:lineRule="exact"/>
        <w:ind w:left="0" w:leftChars="0" w:firstLine="640" w:firstLineChars="200"/>
        <w:jc w:val="both"/>
        <w:textAlignment w:val="auto"/>
        <w:rPr>
          <w:rFonts w:hint="eastAsia" w:ascii="黑体" w:hAnsi="黑体" w:eastAsia="黑体" w:cs="黑体"/>
          <w:color w:val="000000" w:themeColor="text1"/>
          <w:spacing w:val="0"/>
          <w:kern w:val="0"/>
          <w:sz w:val="32"/>
          <w:szCs w:val="32"/>
          <w14:textFill>
            <w14:solidFill>
              <w14:schemeClr w14:val="tx1"/>
            </w14:solidFill>
          </w14:textFill>
        </w:rPr>
      </w:pPr>
      <w:bookmarkStart w:id="41" w:name="heading_89"/>
      <w:bookmarkStart w:id="42" w:name="heading_56"/>
      <w:r>
        <w:rPr>
          <w:rFonts w:hint="eastAsia" w:ascii="黑体" w:hAnsi="黑体" w:eastAsia="黑体" w:cs="黑体"/>
          <w:color w:val="000000" w:themeColor="text1"/>
          <w:spacing w:val="0"/>
          <w:kern w:val="0"/>
          <w:sz w:val="32"/>
          <w:szCs w:val="32"/>
          <w14:textFill>
            <w14:solidFill>
              <w14:schemeClr w14:val="tx1"/>
            </w14:solidFill>
          </w14:textFill>
        </w:rPr>
        <w:t>六、院内突发应急处置</w:t>
      </w:r>
      <w:bookmarkEnd w:id="41"/>
    </w:p>
    <w:p w14:paraId="0A73C3A2">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bookmarkStart w:id="43" w:name="heading_90"/>
      <w:r>
        <w:rPr>
          <w:rFonts w:hint="eastAsia" w:ascii="楷体_GB2312" w:hAnsi="楷体_GB2312" w:eastAsia="楷体_GB2312" w:cs="楷体_GB2312"/>
          <w:color w:val="000000" w:themeColor="text1"/>
          <w:spacing w:val="0"/>
          <w:kern w:val="0"/>
          <w:sz w:val="32"/>
          <w:szCs w:val="32"/>
          <w14:textFill>
            <w14:solidFill>
              <w14:schemeClr w14:val="tx1"/>
            </w14:solidFill>
          </w14:textFill>
        </w:rPr>
        <w:t>（一）自伤自杀行为处置</w:t>
      </w:r>
      <w:bookmarkEnd w:id="43"/>
    </w:p>
    <w:p w14:paraId="34378E0B">
      <w:pPr>
        <w:keepNext w:val="0"/>
        <w:keepLines w:val="0"/>
        <w:pageBreakBefore w:val="0"/>
        <w:widowControl w:val="0"/>
        <w:kinsoku/>
        <w:wordWrap/>
        <w:overflowPunct/>
        <w:topLinePunct w:val="0"/>
        <w:autoSpaceDE/>
        <w:autoSpaceDN/>
        <w:bidi w:val="0"/>
        <w:adjustRightInd/>
        <w:spacing w:line="586"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发现患者有自伤自杀行为或倾向时，立即启动应急预案，采取保护性措施防止伤害发生。精神科医师及时评估病情，调整治疗方案。必要时实施保护性约束。做好记录并告知监护人。</w:t>
      </w:r>
    </w:p>
    <w:p w14:paraId="6F9E17F5">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楷体_GB2312" w:hAnsi="楷体_GB2312" w:eastAsia="楷体_GB2312" w:cs="楷体_GB2312"/>
          <w:color w:val="000000" w:themeColor="text1"/>
          <w:spacing w:val="0"/>
          <w:kern w:val="0"/>
          <w:sz w:val="32"/>
          <w:szCs w:val="32"/>
          <w14:textFill>
            <w14:solidFill>
              <w14:schemeClr w14:val="tx1"/>
            </w14:solidFill>
          </w14:textFill>
        </w:rPr>
      </w:pPr>
      <w:bookmarkStart w:id="44" w:name="heading_91"/>
      <w:r>
        <w:rPr>
          <w:rFonts w:hint="eastAsia" w:ascii="楷体_GB2312" w:hAnsi="楷体_GB2312" w:eastAsia="楷体_GB2312" w:cs="楷体_GB2312"/>
          <w:color w:val="000000" w:themeColor="text1"/>
          <w:spacing w:val="0"/>
          <w:kern w:val="0"/>
          <w:sz w:val="32"/>
          <w:szCs w:val="32"/>
          <w14:textFill>
            <w14:solidFill>
              <w14:schemeClr w14:val="tx1"/>
            </w14:solidFill>
          </w14:textFill>
        </w:rPr>
        <w:t>（二）冲动伤人行为处置</w:t>
      </w:r>
      <w:bookmarkEnd w:id="44"/>
    </w:p>
    <w:p w14:paraId="18C4B2AE">
      <w:pPr>
        <w:pStyle w:val="9"/>
        <w:keepNext w:val="0"/>
        <w:keepLines w:val="0"/>
        <w:pageBreakBefore w:val="0"/>
        <w:widowControl w:val="0"/>
        <w:kinsoku/>
        <w:wordWrap/>
        <w:overflowPunct/>
        <w:topLinePunct w:val="0"/>
        <w:autoSpaceDE/>
        <w:autoSpaceDN/>
        <w:bidi w:val="0"/>
        <w:adjustRightInd/>
        <w:snapToGrid w:val="0"/>
        <w:spacing w:after="0" w:line="586" w:lineRule="exact"/>
        <w:ind w:firstLine="640" w:firstLineChars="200"/>
        <w:jc w:val="both"/>
        <w:textAlignment w:val="auto"/>
        <w:rPr>
          <w:rFonts w:hint="eastAsia" w:ascii="仿宋_GB2312" w:hAnsi="仿宋_GB2312" w:eastAsia="仿宋_GB2312" w:cs="仿宋_GB2312"/>
          <w:b/>
          <w:bCs/>
          <w:snapToGrid w:val="0"/>
          <w:spacing w:val="0"/>
          <w:kern w:val="0"/>
          <w:sz w:val="30"/>
          <w:szCs w:val="30"/>
        </w:rPr>
      </w:pPr>
      <w:r>
        <w:rPr>
          <w:rFonts w:hint="eastAsia" w:ascii="仿宋_GB2312" w:hAnsi="仿宋_GB2312" w:eastAsia="仿宋_GB2312" w:cs="仿宋_GB2312"/>
          <w:color w:val="000000" w:themeColor="text1"/>
          <w:kern w:val="0"/>
          <w:sz w:val="32"/>
          <w:szCs w:val="32"/>
          <w14:textFill>
            <w14:solidFill>
              <w14:schemeClr w14:val="tx1"/>
            </w14:solidFill>
          </w14:textFill>
        </w:rPr>
        <w:t>发现患者有冲动伤人行为时，立即组织医护及安保人员进行干预，确保其他患者和工作人员安全。必要时实施保护性约束。精神科医师评估病情，调整治疗方案。做好记录并告知监护人。</w:t>
      </w:r>
      <w:bookmarkEnd w:id="42"/>
    </w:p>
    <w:p w14:paraId="4804F061">
      <w:pPr>
        <w:pStyle w:val="9"/>
        <w:keepNext w:val="0"/>
        <w:keepLines w:val="0"/>
        <w:pageBreakBefore w:val="0"/>
        <w:widowControl w:val="0"/>
        <w:kinsoku/>
        <w:wordWrap/>
        <w:overflowPunct/>
        <w:topLinePunct w:val="0"/>
        <w:autoSpaceDE/>
        <w:autoSpaceDN/>
        <w:bidi w:val="0"/>
        <w:adjustRightInd/>
        <w:snapToGrid w:val="0"/>
        <w:spacing w:after="0"/>
        <w:textAlignment w:val="auto"/>
        <w:rPr>
          <w:rFonts w:hint="eastAsia" w:ascii="仿宋_GB2312" w:hAnsi="仿宋_GB2312" w:eastAsia="仿宋_GB2312" w:cs="仿宋_GB2312"/>
          <w:b/>
          <w:bCs/>
          <w:snapToGrid w:val="0"/>
          <w:spacing w:val="0"/>
          <w:kern w:val="0"/>
          <w:sz w:val="30"/>
          <w:szCs w:val="30"/>
        </w:rPr>
      </w:pPr>
    </w:p>
    <w:p w14:paraId="6B9497FB">
      <w:pPr>
        <w:rPr>
          <w:rFonts w:hint="eastAsia" w:ascii="仿宋_GB2312" w:hAnsi="仿宋_GB2312" w:eastAsia="仿宋_GB2312" w:cs="仿宋_GB2312"/>
          <w:b/>
          <w:bCs/>
          <w:snapToGrid w:val="0"/>
          <w:spacing w:val="0"/>
          <w:kern w:val="0"/>
          <w:sz w:val="30"/>
          <w:szCs w:val="30"/>
        </w:rPr>
      </w:pPr>
      <w:r>
        <w:rPr>
          <w:rFonts w:hint="eastAsia" w:ascii="仿宋_GB2312" w:hAnsi="仿宋_GB2312" w:eastAsia="仿宋_GB2312" w:cs="仿宋_GB2312"/>
          <w:b/>
          <w:bCs/>
          <w:snapToGrid w:val="0"/>
          <w:spacing w:val="0"/>
          <w:kern w:val="0"/>
          <w:sz w:val="30"/>
          <w:szCs w:val="30"/>
        </w:rPr>
        <w:br w:type="page"/>
      </w:r>
    </w:p>
    <w:p w14:paraId="3F5C3BE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kern w:val="0"/>
          <w:sz w:val="32"/>
          <w:szCs w:val="32"/>
        </w:rPr>
      </w:pPr>
      <w:r>
        <w:rPr>
          <w:rFonts w:hint="eastAsia" w:ascii="黑体" w:hAnsi="黑体" w:eastAsia="黑体" w:cs="黑体"/>
          <w:kern w:val="0"/>
          <w:sz w:val="32"/>
          <w:szCs w:val="32"/>
        </w:rPr>
        <w:t>附件</w:t>
      </w:r>
    </w:p>
    <w:p w14:paraId="0EA764D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kern w:val="0"/>
          <w:sz w:val="32"/>
          <w:szCs w:val="32"/>
        </w:rPr>
      </w:pPr>
    </w:p>
    <w:p w14:paraId="331D72E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小标宋_GBK" w:hAnsi="方正小标宋_GBK" w:eastAsia="方正小标宋_GBK" w:cs="方正小标宋_GBK"/>
          <w:color w:val="000000" w:themeColor="text1"/>
          <w:spacing w:val="11"/>
          <w:sz w:val="44"/>
          <w:szCs w:val="44"/>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pacing w:val="11"/>
          <w:sz w:val="44"/>
          <w:szCs w:val="44"/>
          <w:lang w:val="en-US" w:eastAsia="zh-CN"/>
          <w14:textFill>
            <w14:solidFill>
              <w14:schemeClr w14:val="tx1"/>
            </w14:solidFill>
          </w14:textFill>
        </w:rPr>
        <w:t>常用诊疗文书参考</w:t>
      </w:r>
    </w:p>
    <w:p w14:paraId="475474B9">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eastAsia" w:ascii="方正小标宋_GBK" w:hAnsi="方正小标宋_GBK" w:eastAsia="方正小标宋_GBK" w:cs="方正小标宋_GBK"/>
          <w:color w:val="000000" w:themeColor="text1"/>
          <w:kern w:val="0"/>
          <w:sz w:val="32"/>
          <w:szCs w:val="32"/>
          <w14:textFill>
            <w14:solidFill>
              <w14:schemeClr w14:val="tx1"/>
            </w14:solidFill>
          </w14:textFill>
        </w:rPr>
      </w:pPr>
    </w:p>
    <w:p w14:paraId="7B1231D0">
      <w:pPr>
        <w:pStyle w:val="9"/>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jc w:val="both"/>
        <w:textAlignment w:val="auto"/>
        <w:rPr>
          <w:rFonts w:hint="eastAsia" w:ascii="仿宋_GB2312" w:hAnsi="仿宋_GB2312" w:eastAsia="仿宋_GB2312" w:cs="仿宋_GB2312"/>
          <w:b/>
          <w:bCs/>
          <w:snapToGrid w:val="0"/>
          <w:color w:val="000000" w:themeColor="text1"/>
          <w:spacing w:val="0"/>
          <w:kern w:val="0"/>
          <w:sz w:val="32"/>
          <w:szCs w:val="32"/>
          <w14:textFill>
            <w14:solidFill>
              <w14:schemeClr w14:val="tx1"/>
            </w14:solidFill>
          </w14:textFill>
        </w:rPr>
      </w:pPr>
      <w:r>
        <w:rPr>
          <w:rFonts w:hint="eastAsia" w:ascii="Times New Roman" w:hAnsi="Times New Roman" w:eastAsia="仿宋_GB2312" w:cs="Times New Roman"/>
          <w:color w:val="000000" w:themeColor="text1"/>
          <w:kern w:val="0"/>
          <w:sz w:val="32"/>
          <w:szCs w:val="32"/>
          <w14:textFill>
            <w14:solidFill>
              <w14:schemeClr w14:val="tx1"/>
            </w14:solidFill>
          </w14:textFill>
        </w:rPr>
        <w:t>本附件收录精神障碍诊疗中涉及人身自由限制、法定权利告知的专项文书模板。通用医疗文书（如出院知情同意书、自愿住院申请书等）按照《病历书写基本规范》及医疗机构通用模板执行，不纳入本附件。</w:t>
      </w:r>
    </w:p>
    <w:p w14:paraId="67C683CE">
      <w:pPr>
        <w:rPr>
          <w:rFonts w:hint="eastAsia" w:ascii="仿宋_GB2312" w:hAnsi="仿宋_GB2312" w:eastAsia="仿宋_GB2312" w:cs="仿宋_GB2312"/>
          <w:b/>
          <w:bCs/>
          <w:snapToGrid w:val="0"/>
          <w:spacing w:val="0"/>
          <w:kern w:val="0"/>
          <w:sz w:val="30"/>
          <w:szCs w:val="30"/>
        </w:rPr>
        <w:sectPr>
          <w:footerReference r:id="rId3" w:type="default"/>
          <w:pgSz w:w="11906" w:h="16838"/>
          <w:pgMar w:top="1984" w:right="1587" w:bottom="1814" w:left="1587" w:header="851" w:footer="1304" w:gutter="0"/>
          <w:pgBorders>
            <w:top w:val="none" w:sz="0" w:space="0"/>
            <w:left w:val="none" w:sz="0" w:space="0"/>
            <w:bottom w:val="none" w:sz="0" w:space="0"/>
            <w:right w:val="none" w:sz="0" w:space="0"/>
          </w:pgBorders>
          <w:cols w:space="0" w:num="1"/>
          <w:rtlGutter w:val="0"/>
          <w:docGrid w:type="lines" w:linePitch="312" w:charSpace="0"/>
        </w:sectPr>
      </w:pPr>
    </w:p>
    <w:p w14:paraId="25D1FFA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kern w:val="0"/>
          <w:sz w:val="32"/>
          <w:szCs w:val="32"/>
        </w:rPr>
      </w:pPr>
      <w:r>
        <w:rPr>
          <w:rFonts w:hint="eastAsia" w:ascii="黑体" w:hAnsi="黑体" w:eastAsia="黑体" w:cs="黑体"/>
          <w:kern w:val="0"/>
          <w:sz w:val="32"/>
          <w:szCs w:val="32"/>
        </w:rPr>
        <w:t>附</w:t>
      </w:r>
      <w:r>
        <w:rPr>
          <w:rFonts w:hint="eastAsia" w:ascii="Times New Roman" w:hAnsi="Times New Roman" w:eastAsia="黑体" w:cs="黑体"/>
          <w:kern w:val="0"/>
          <w:sz w:val="32"/>
          <w:szCs w:val="32"/>
        </w:rPr>
        <w:t>1</w:t>
      </w:r>
    </w:p>
    <w:p w14:paraId="3451389E">
      <w:pPr>
        <w:keepNext w:val="0"/>
        <w:keepLines w:val="0"/>
        <w:pageBreakBefore w:val="0"/>
        <w:widowControl w:val="0"/>
        <w:kinsoku/>
        <w:wordWrap/>
        <w:overflowPunct/>
        <w:topLinePunct w:val="0"/>
        <w:autoSpaceDE/>
        <w:autoSpaceDN/>
        <w:bidi w:val="0"/>
        <w:adjustRightInd w:val="0"/>
        <w:snapToGrid w:val="0"/>
        <w:spacing w:before="157" w:beforeLines="50" w:after="313" w:afterLines="100" w:line="240" w:lineRule="auto"/>
        <w:jc w:val="center"/>
        <w:textAlignment w:val="auto"/>
        <w:rPr>
          <w:rFonts w:hint="eastAsia" w:ascii="方正小标宋_GBK" w:hAnsi="方正小标宋_GBK" w:eastAsia="方正小标宋_GBK" w:cs="方正小标宋_GBK"/>
          <w:color w:val="000000" w:themeColor="text1"/>
          <w:spacing w:val="11"/>
          <w:sz w:val="40"/>
          <w:szCs w:val="40"/>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pacing w:val="11"/>
          <w:sz w:val="40"/>
          <w:szCs w:val="40"/>
          <w:lang w:val="en-US" w:eastAsia="zh-CN"/>
          <w14:textFill>
            <w14:solidFill>
              <w14:schemeClr w14:val="tx1"/>
            </w14:solidFill>
          </w14:textFill>
        </w:rPr>
        <w:t>精神科封闭式病房住院治疗知情同意书</w:t>
      </w:r>
    </w:p>
    <w:p w14:paraId="12E16C35">
      <w:pPr>
        <w:keepNext w:val="0"/>
        <w:keepLines w:val="0"/>
        <w:pageBreakBefore w:val="0"/>
        <w:widowControl w:val="0"/>
        <w:kinsoku/>
        <w:wordWrap/>
        <w:overflowPunct/>
        <w:topLinePunct w:val="0"/>
        <w:autoSpaceDE/>
        <w:autoSpaceDN/>
        <w:bidi w:val="0"/>
        <w:adjustRightInd w:val="0"/>
        <w:snapToGrid w:val="0"/>
        <w:spacing w:line="420" w:lineRule="exact"/>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position w:val="1"/>
          <w:sz w:val="22"/>
          <w:szCs w:val="22"/>
        </w:rPr>
        <w:t xml:space="preserve">患者姓名：      </w:t>
      </w:r>
      <w:r>
        <w:rPr>
          <w:rFonts w:hint="eastAsia" w:ascii="仿宋_GB2312" w:hAnsi="仿宋_GB2312" w:eastAsia="仿宋_GB2312" w:cs="仿宋_GB2312"/>
          <w:snapToGrid w:val="0"/>
          <w:color w:val="000000"/>
          <w:spacing w:val="0"/>
          <w:kern w:val="0"/>
          <w:sz w:val="22"/>
          <w:szCs w:val="22"/>
        </w:rPr>
        <w:t xml:space="preserve">性别：  </w:t>
      </w:r>
      <w:r>
        <w:rPr>
          <w:rFonts w:hint="eastAsia" w:ascii="仿宋_GB2312" w:hAnsi="仿宋_GB2312" w:eastAsia="仿宋_GB2312" w:cs="仿宋_GB2312"/>
          <w:snapToGrid w:val="0"/>
          <w:color w:val="000000"/>
          <w:spacing w:val="0"/>
          <w:kern w:val="0"/>
          <w:sz w:val="22"/>
          <w:szCs w:val="22"/>
          <w:lang w:val="en-US" w:eastAsia="zh-CN"/>
        </w:rPr>
        <w:t xml:space="preserve"> </w:t>
      </w:r>
      <w:r>
        <w:rPr>
          <w:rFonts w:hint="eastAsia" w:ascii="仿宋_GB2312" w:hAnsi="仿宋_GB2312" w:eastAsia="仿宋_GB2312" w:cs="仿宋_GB2312"/>
          <w:snapToGrid w:val="0"/>
          <w:color w:val="000000"/>
          <w:spacing w:val="0"/>
          <w:kern w:val="0"/>
          <w:sz w:val="22"/>
          <w:szCs w:val="22"/>
        </w:rPr>
        <w:t xml:space="preserve"> 年龄：      住院号：</w:t>
      </w:r>
      <w:r>
        <w:rPr>
          <w:rFonts w:hint="eastAsia" w:ascii="仿宋_GB2312" w:hAnsi="仿宋_GB2312" w:eastAsia="仿宋_GB2312" w:cs="仿宋_GB2312"/>
          <w:snapToGrid w:val="0"/>
          <w:color w:val="000000"/>
          <w:spacing w:val="0"/>
          <w:kern w:val="0"/>
          <w:sz w:val="22"/>
          <w:szCs w:val="22"/>
          <w:lang w:val="en-US" w:eastAsia="zh-CN"/>
        </w:rPr>
        <w:t xml:space="preserve">           </w:t>
      </w:r>
      <w:r>
        <w:rPr>
          <w:rFonts w:hint="eastAsia" w:ascii="仿宋_GB2312" w:hAnsi="仿宋_GB2312" w:eastAsia="仿宋_GB2312" w:cs="仿宋_GB2312"/>
          <w:snapToGrid w:val="0"/>
          <w:color w:val="000000"/>
          <w:spacing w:val="0"/>
          <w:kern w:val="0"/>
          <w:sz w:val="22"/>
          <w:szCs w:val="22"/>
        </w:rPr>
        <w:t xml:space="preserve">入院诊断：           </w:t>
      </w:r>
    </w:p>
    <w:p w14:paraId="691CD74E">
      <w:pPr>
        <w:keepNext w:val="0"/>
        <w:keepLines w:val="0"/>
        <w:pageBreakBefore w:val="0"/>
        <w:widowControl w:val="0"/>
        <w:kinsoku/>
        <w:wordWrap/>
        <w:overflowPunct/>
        <w:topLinePunct w:val="0"/>
        <w:autoSpaceDE/>
        <w:autoSpaceDN/>
        <w:bidi w:val="0"/>
        <w:adjustRightInd w:val="0"/>
        <w:snapToGrid w:val="0"/>
        <w:spacing w:line="420" w:lineRule="exact"/>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 xml:space="preserve">联系人姓名：           联系人电话：          与患者关系：            </w:t>
      </w:r>
    </w:p>
    <w:p w14:paraId="4B7C8EBC">
      <w:pPr>
        <w:keepNext w:val="0"/>
        <w:keepLines w:val="0"/>
        <w:pageBreakBefore w:val="0"/>
        <w:widowControl w:val="0"/>
        <w:kinsoku/>
        <w:wordWrap/>
        <w:overflowPunct/>
        <w:topLinePunct w:val="0"/>
        <w:autoSpaceDE/>
        <w:autoSpaceDN/>
        <w:bidi w:val="0"/>
        <w:adjustRightInd w:val="0"/>
        <w:snapToGrid w:val="0"/>
        <w:spacing w:line="420" w:lineRule="exact"/>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详细地址：</w:t>
      </w:r>
    </w:p>
    <w:p w14:paraId="0C02FE9B">
      <w:pPr>
        <w:keepNext w:val="0"/>
        <w:keepLines w:val="0"/>
        <w:pageBreakBefore w:val="0"/>
        <w:widowControl w:val="0"/>
        <w:kinsoku/>
        <w:wordWrap/>
        <w:overflowPunct/>
        <w:topLinePunct w:val="0"/>
        <w:autoSpaceDE/>
        <w:autoSpaceDN/>
        <w:bidi w:val="0"/>
        <w:adjustRightInd w:val="0"/>
        <w:snapToGrid w:val="0"/>
        <w:spacing w:line="42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Times New Roman" w:hAnsi="Times New Roman" w:eastAsia="仿宋_GB2312" w:cs="仿宋_GB2312"/>
          <w:snapToGrid w:val="0"/>
          <w:color w:val="000000"/>
          <w:spacing w:val="0"/>
          <w:kern w:val="0"/>
          <w:sz w:val="22"/>
          <w:szCs w:val="22"/>
        </w:rPr>
        <w:t>1</w:t>
      </w:r>
      <w:r>
        <w:rPr>
          <w:rFonts w:hint="eastAsia" w:ascii="仿宋_GB2312" w:hAnsi="仿宋_GB2312" w:eastAsia="仿宋_GB2312" w:cs="仿宋_GB2312"/>
          <w:snapToGrid w:val="0"/>
          <w:color w:val="000000"/>
          <w:spacing w:val="0"/>
          <w:kern w:val="0"/>
          <w:sz w:val="22"/>
          <w:szCs w:val="22"/>
        </w:rPr>
        <w:t>.住我院封闭式病房的患者，须经患者监护人或负有监护义务者的同意，并经门诊办妥住院手续。凡对社会秩序造成影响的精神障碍患者，应由公安机关或</w:t>
      </w:r>
      <w:r>
        <w:rPr>
          <w:rFonts w:hint="eastAsia" w:ascii="仿宋_GB2312" w:hAnsi="仿宋_GB2312" w:eastAsia="仿宋_GB2312" w:cs="仿宋_GB2312"/>
          <w:snapToGrid w:val="0"/>
          <w:color w:val="000000"/>
          <w:spacing w:val="0"/>
          <w:kern w:val="0"/>
          <w:sz w:val="22"/>
          <w:szCs w:val="22"/>
          <w:lang w:val="en-US" w:eastAsia="zh-CN"/>
        </w:rPr>
        <w:t>急救中心</w:t>
      </w:r>
      <w:r>
        <w:rPr>
          <w:rFonts w:hint="eastAsia" w:ascii="仿宋_GB2312" w:hAnsi="仿宋_GB2312" w:eastAsia="仿宋_GB2312" w:cs="仿宋_GB2312"/>
          <w:snapToGrid w:val="0"/>
          <w:color w:val="000000"/>
          <w:spacing w:val="0"/>
          <w:kern w:val="0"/>
          <w:sz w:val="22"/>
          <w:szCs w:val="22"/>
        </w:rPr>
        <w:t>协助公安机关送往医院，经门诊检查确定需要住院，由护送单位登记签字后，按特殊情况收治住院。</w:t>
      </w:r>
    </w:p>
    <w:p w14:paraId="2A236FA6">
      <w:pPr>
        <w:keepNext w:val="0"/>
        <w:keepLines w:val="0"/>
        <w:pageBreakBefore w:val="0"/>
        <w:widowControl w:val="0"/>
        <w:kinsoku/>
        <w:wordWrap/>
        <w:overflowPunct/>
        <w:topLinePunct w:val="0"/>
        <w:autoSpaceDE/>
        <w:autoSpaceDN/>
        <w:bidi w:val="0"/>
        <w:adjustRightInd w:val="0"/>
        <w:snapToGrid w:val="0"/>
        <w:spacing w:line="42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Times New Roman" w:hAnsi="Times New Roman" w:eastAsia="仿宋_GB2312" w:cs="仿宋_GB2312"/>
          <w:snapToGrid w:val="0"/>
          <w:color w:val="000000"/>
          <w:spacing w:val="0"/>
          <w:kern w:val="0"/>
          <w:sz w:val="22"/>
          <w:szCs w:val="22"/>
        </w:rPr>
        <w:t>2</w:t>
      </w:r>
      <w:r>
        <w:rPr>
          <w:rFonts w:hint="eastAsia" w:ascii="仿宋_GB2312" w:hAnsi="仿宋_GB2312" w:eastAsia="仿宋_GB2312" w:cs="仿宋_GB2312"/>
          <w:snapToGrid w:val="0"/>
          <w:color w:val="000000"/>
          <w:spacing w:val="0"/>
          <w:kern w:val="0"/>
          <w:sz w:val="22"/>
          <w:szCs w:val="22"/>
        </w:rPr>
        <w:t>.本病区为封闭式病房，患者的行动自由将因病情和治疗的需要而受到一定的保护性限制。</w:t>
      </w:r>
    </w:p>
    <w:p w14:paraId="4E5EBB34">
      <w:pPr>
        <w:keepNext w:val="0"/>
        <w:keepLines w:val="0"/>
        <w:pageBreakBefore w:val="0"/>
        <w:widowControl w:val="0"/>
        <w:kinsoku/>
        <w:wordWrap/>
        <w:overflowPunct/>
        <w:topLinePunct w:val="0"/>
        <w:autoSpaceDE/>
        <w:autoSpaceDN/>
        <w:bidi w:val="0"/>
        <w:adjustRightInd w:val="0"/>
        <w:snapToGrid w:val="0"/>
        <w:spacing w:line="42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Times New Roman" w:hAnsi="Times New Roman" w:eastAsia="仿宋_GB2312" w:cs="仿宋_GB2312"/>
          <w:snapToGrid w:val="0"/>
          <w:color w:val="000000"/>
          <w:spacing w:val="0"/>
          <w:kern w:val="0"/>
          <w:sz w:val="22"/>
          <w:szCs w:val="22"/>
        </w:rPr>
        <w:t>3</w:t>
      </w:r>
      <w:r>
        <w:rPr>
          <w:rFonts w:hint="eastAsia" w:ascii="仿宋_GB2312" w:hAnsi="仿宋_GB2312" w:eastAsia="仿宋_GB2312" w:cs="仿宋_GB2312"/>
          <w:snapToGrid w:val="0"/>
          <w:color w:val="000000"/>
          <w:spacing w:val="0"/>
          <w:kern w:val="0"/>
          <w:sz w:val="22"/>
          <w:szCs w:val="22"/>
        </w:rPr>
        <w:t>.住院期间如查出患者患有严重躯体疾患、需要隔离治疗的传染性疾病等，应转入相应科室治疗；家属不在患者身边时，医院将本着对患者负责的原则，有权先将患者转至相应科室或转院治疗。</w:t>
      </w:r>
    </w:p>
    <w:p w14:paraId="303B9D71">
      <w:pPr>
        <w:keepNext w:val="0"/>
        <w:keepLines w:val="0"/>
        <w:pageBreakBefore w:val="0"/>
        <w:widowControl w:val="0"/>
        <w:kinsoku/>
        <w:wordWrap/>
        <w:overflowPunct/>
        <w:topLinePunct w:val="0"/>
        <w:autoSpaceDE/>
        <w:autoSpaceDN/>
        <w:bidi w:val="0"/>
        <w:adjustRightInd w:val="0"/>
        <w:snapToGrid w:val="0"/>
        <w:spacing w:line="42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Times New Roman" w:hAnsi="Times New Roman" w:eastAsia="仿宋_GB2312" w:cs="仿宋_GB2312"/>
          <w:snapToGrid w:val="0"/>
          <w:color w:val="000000"/>
          <w:spacing w:val="0"/>
          <w:kern w:val="0"/>
          <w:sz w:val="22"/>
          <w:szCs w:val="22"/>
        </w:rPr>
        <w:t>4</w:t>
      </w:r>
      <w:r>
        <w:rPr>
          <w:rFonts w:hint="eastAsia" w:ascii="仿宋_GB2312" w:hAnsi="仿宋_GB2312" w:eastAsia="仿宋_GB2312" w:cs="仿宋_GB2312"/>
          <w:snapToGrid w:val="0"/>
          <w:color w:val="000000"/>
          <w:spacing w:val="0"/>
          <w:kern w:val="0"/>
          <w:sz w:val="22"/>
          <w:szCs w:val="22"/>
        </w:rPr>
        <w:t>.为了患者和整个病区的安全，家属、陪客及探视人员严禁将刀、剪、绳等危险物品以及贵重物品和零用钱等与住院无关物品交给患者；不能私自给患者使用非本院医嘱药品或让患者接受未经院方同意的其他治疗，否则，由此造成的一切后果由患者家属或所在单位负责。</w:t>
      </w:r>
    </w:p>
    <w:p w14:paraId="7D0E2DAE">
      <w:pPr>
        <w:keepNext w:val="0"/>
        <w:keepLines w:val="0"/>
        <w:pageBreakBefore w:val="0"/>
        <w:widowControl w:val="0"/>
        <w:kinsoku/>
        <w:wordWrap/>
        <w:overflowPunct/>
        <w:topLinePunct w:val="0"/>
        <w:autoSpaceDE/>
        <w:autoSpaceDN/>
        <w:bidi w:val="0"/>
        <w:adjustRightInd w:val="0"/>
        <w:snapToGrid w:val="0"/>
        <w:spacing w:line="42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Times New Roman" w:hAnsi="Times New Roman" w:eastAsia="仿宋_GB2312" w:cs="仿宋_GB2312"/>
          <w:snapToGrid w:val="0"/>
          <w:color w:val="000000"/>
          <w:spacing w:val="0"/>
          <w:kern w:val="0"/>
          <w:sz w:val="22"/>
          <w:szCs w:val="22"/>
        </w:rPr>
        <w:t>5</w:t>
      </w:r>
      <w:r>
        <w:rPr>
          <w:rFonts w:hint="eastAsia" w:ascii="仿宋_GB2312" w:hAnsi="仿宋_GB2312" w:eastAsia="仿宋_GB2312" w:cs="仿宋_GB2312"/>
          <w:snapToGrid w:val="0"/>
          <w:color w:val="000000"/>
          <w:spacing w:val="0"/>
          <w:kern w:val="0"/>
          <w:sz w:val="22"/>
          <w:szCs w:val="22"/>
        </w:rPr>
        <w:t>.精神疾病病情具有较强不确定性，住院期间仍可能发生难以完全预判的突发不良事件，医疗机构将严格落实各项安全防控措施，最大限度防范和降低诊疗风险。</w:t>
      </w:r>
    </w:p>
    <w:p w14:paraId="38A18D9A">
      <w:pPr>
        <w:keepNext w:val="0"/>
        <w:keepLines w:val="0"/>
        <w:pageBreakBefore w:val="0"/>
        <w:widowControl w:val="0"/>
        <w:kinsoku/>
        <w:wordWrap/>
        <w:overflowPunct/>
        <w:topLinePunct w:val="0"/>
        <w:autoSpaceDE/>
        <w:autoSpaceDN/>
        <w:bidi w:val="0"/>
        <w:adjustRightInd w:val="0"/>
        <w:snapToGrid w:val="0"/>
        <w:spacing w:line="42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Times New Roman" w:hAnsi="Times New Roman" w:eastAsia="仿宋_GB2312" w:cs="仿宋_GB2312"/>
          <w:snapToGrid w:val="0"/>
          <w:color w:val="000000"/>
          <w:spacing w:val="0"/>
          <w:kern w:val="0"/>
          <w:sz w:val="22"/>
          <w:szCs w:val="22"/>
        </w:rPr>
        <w:t>6</w:t>
      </w:r>
      <w:r>
        <w:rPr>
          <w:rFonts w:hint="eastAsia" w:ascii="仿宋_GB2312" w:hAnsi="仿宋_GB2312" w:eastAsia="仿宋_GB2312" w:cs="仿宋_GB2312"/>
          <w:snapToGrid w:val="0"/>
          <w:color w:val="000000"/>
          <w:spacing w:val="0"/>
          <w:kern w:val="0"/>
          <w:sz w:val="22"/>
          <w:szCs w:val="22"/>
        </w:rPr>
        <w:t>.因病情需要，需到院外检查或治疗时，应由家属及具有监护责任的监护人陪同前往。 在院外检查、治疗期间，家属应负责患者的安全。</w:t>
      </w:r>
    </w:p>
    <w:p w14:paraId="1D6EC05E">
      <w:pPr>
        <w:keepNext w:val="0"/>
        <w:keepLines w:val="0"/>
        <w:pageBreakBefore w:val="0"/>
        <w:widowControl w:val="0"/>
        <w:kinsoku/>
        <w:wordWrap/>
        <w:overflowPunct/>
        <w:topLinePunct w:val="0"/>
        <w:autoSpaceDE/>
        <w:autoSpaceDN/>
        <w:bidi w:val="0"/>
        <w:adjustRightInd w:val="0"/>
        <w:snapToGrid w:val="0"/>
        <w:spacing w:line="42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Times New Roman" w:hAnsi="Times New Roman" w:eastAsia="仿宋_GB2312" w:cs="仿宋_GB2312"/>
          <w:snapToGrid w:val="0"/>
          <w:color w:val="000000"/>
          <w:spacing w:val="0"/>
          <w:kern w:val="0"/>
          <w:sz w:val="22"/>
          <w:szCs w:val="22"/>
        </w:rPr>
        <w:t>7</w:t>
      </w:r>
      <w:r>
        <w:rPr>
          <w:rFonts w:hint="eastAsia" w:ascii="仿宋_GB2312" w:hAnsi="仿宋_GB2312" w:eastAsia="仿宋_GB2312" w:cs="仿宋_GB2312"/>
          <w:snapToGrid w:val="0"/>
          <w:color w:val="000000"/>
          <w:spacing w:val="0"/>
          <w:kern w:val="0"/>
          <w:sz w:val="22"/>
          <w:szCs w:val="22"/>
        </w:rPr>
        <w:t>.家属探望患者时应严格遵守探视规定。如因特殊情况需要带患者离开病区，须事先获得病区医务人员的同意，并办理请假手续。</w:t>
      </w:r>
    </w:p>
    <w:p w14:paraId="4ABBBD97">
      <w:pPr>
        <w:keepNext w:val="0"/>
        <w:keepLines w:val="0"/>
        <w:pageBreakBefore w:val="0"/>
        <w:widowControl w:val="0"/>
        <w:kinsoku/>
        <w:wordWrap/>
        <w:overflowPunct/>
        <w:topLinePunct w:val="0"/>
        <w:autoSpaceDE/>
        <w:autoSpaceDN/>
        <w:bidi w:val="0"/>
        <w:adjustRightInd w:val="0"/>
        <w:snapToGrid w:val="0"/>
        <w:spacing w:line="42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Times New Roman" w:hAnsi="Times New Roman" w:eastAsia="仿宋_GB2312" w:cs="仿宋_GB2312"/>
          <w:snapToGrid w:val="0"/>
          <w:color w:val="000000"/>
          <w:spacing w:val="0"/>
          <w:kern w:val="0"/>
          <w:sz w:val="22"/>
          <w:szCs w:val="22"/>
        </w:rPr>
        <w:t>8</w:t>
      </w:r>
      <w:r>
        <w:rPr>
          <w:rFonts w:hint="eastAsia" w:ascii="仿宋_GB2312" w:hAnsi="仿宋_GB2312" w:eastAsia="仿宋_GB2312" w:cs="仿宋_GB2312"/>
          <w:snapToGrid w:val="0"/>
          <w:color w:val="000000"/>
          <w:spacing w:val="0"/>
          <w:kern w:val="0"/>
          <w:sz w:val="22"/>
          <w:szCs w:val="22"/>
        </w:rPr>
        <w:t>.患者家属或所在监护单位接到出院通知后，应立即来院办理出院手续。</w:t>
      </w:r>
    </w:p>
    <w:p w14:paraId="6DF87B26">
      <w:pPr>
        <w:keepNext w:val="0"/>
        <w:keepLines w:val="0"/>
        <w:pageBreakBefore w:val="0"/>
        <w:widowControl w:val="0"/>
        <w:kinsoku/>
        <w:wordWrap/>
        <w:overflowPunct/>
        <w:topLinePunct w:val="0"/>
        <w:autoSpaceDE/>
        <w:autoSpaceDN/>
        <w:bidi w:val="0"/>
        <w:adjustRightInd w:val="0"/>
        <w:snapToGrid w:val="0"/>
        <w:spacing w:before="157" w:beforeLines="50" w:line="42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监护人签名：                      医师签名：</w:t>
      </w:r>
    </w:p>
    <w:p w14:paraId="18E7BF22">
      <w:pPr>
        <w:keepNext w:val="0"/>
        <w:keepLines w:val="0"/>
        <w:pageBreakBefore w:val="0"/>
        <w:widowControl w:val="0"/>
        <w:kinsoku/>
        <w:wordWrap/>
        <w:overflowPunct/>
        <w:topLinePunct w:val="0"/>
        <w:autoSpaceDE/>
        <w:autoSpaceDN/>
        <w:bidi w:val="0"/>
        <w:adjustRightInd w:val="0"/>
        <w:snapToGrid w:val="0"/>
        <w:spacing w:line="42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（注明与患者关系）</w:t>
      </w:r>
    </w:p>
    <w:p w14:paraId="3DA76C79">
      <w:pPr>
        <w:keepNext w:val="0"/>
        <w:keepLines w:val="0"/>
        <w:pageBreakBefore w:val="0"/>
        <w:widowControl w:val="0"/>
        <w:kinsoku/>
        <w:wordWrap/>
        <w:overflowPunct/>
        <w:topLinePunct w:val="0"/>
        <w:autoSpaceDE/>
        <w:autoSpaceDN/>
        <w:bidi w:val="0"/>
        <w:adjustRightInd w:val="0"/>
        <w:snapToGrid w:val="0"/>
        <w:spacing w:line="42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监护人或负有监护义务者身份证号码：</w:t>
      </w:r>
    </w:p>
    <w:p w14:paraId="7F0FF81A">
      <w:pPr>
        <w:pStyle w:val="9"/>
        <w:keepNext w:val="0"/>
        <w:keepLines w:val="0"/>
        <w:pageBreakBefore w:val="0"/>
        <w:widowControl w:val="0"/>
        <w:kinsoku/>
        <w:wordWrap/>
        <w:overflowPunct/>
        <w:topLinePunct w:val="0"/>
        <w:autoSpaceDE/>
        <w:autoSpaceDN/>
        <w:bidi w:val="0"/>
        <w:adjustRightInd/>
        <w:snapToGrid w:val="0"/>
        <w:spacing w:after="0" w:line="420" w:lineRule="exact"/>
        <w:ind w:firstLine="440" w:firstLineChars="200"/>
        <w:textAlignment w:val="auto"/>
        <w:rPr>
          <w:rFonts w:hint="eastAsia" w:ascii="仿宋_GB2312" w:hAnsi="仿宋_GB2312" w:eastAsia="仿宋_GB2312" w:cs="仿宋_GB2312"/>
          <w:b/>
          <w:bCs/>
          <w:snapToGrid w:val="0"/>
          <w:spacing w:val="0"/>
          <w:kern w:val="0"/>
          <w:sz w:val="22"/>
          <w:szCs w:val="22"/>
        </w:rPr>
      </w:pPr>
      <w:r>
        <w:rPr>
          <w:rFonts w:hint="eastAsia" w:ascii="仿宋_GB2312" w:hAnsi="仿宋_GB2312" w:eastAsia="仿宋_GB2312" w:cs="仿宋_GB2312"/>
          <w:snapToGrid w:val="0"/>
          <w:color w:val="000000"/>
          <w:spacing w:val="0"/>
          <w:kern w:val="0"/>
          <w:sz w:val="22"/>
          <w:szCs w:val="22"/>
        </w:rPr>
        <w:t>联系电话：                                          年    月     日</w:t>
      </w:r>
    </w:p>
    <w:p w14:paraId="6595315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kern w:val="0"/>
          <w:sz w:val="32"/>
          <w:szCs w:val="32"/>
        </w:rPr>
      </w:pPr>
      <w:r>
        <w:rPr>
          <w:rFonts w:hint="eastAsia" w:ascii="黑体" w:hAnsi="黑体" w:eastAsia="黑体" w:cs="黑体"/>
          <w:kern w:val="0"/>
          <w:sz w:val="32"/>
          <w:szCs w:val="32"/>
        </w:rPr>
        <w:t>附</w:t>
      </w:r>
      <w:r>
        <w:rPr>
          <w:rFonts w:hint="eastAsia" w:ascii="Times New Roman" w:hAnsi="Times New Roman" w:eastAsia="黑体" w:cs="黑体"/>
          <w:kern w:val="0"/>
          <w:sz w:val="32"/>
          <w:szCs w:val="32"/>
        </w:rPr>
        <w:t>2</w:t>
      </w:r>
    </w:p>
    <w:p w14:paraId="778239AA">
      <w:pPr>
        <w:kinsoku w:val="0"/>
        <w:autoSpaceDE w:val="0"/>
        <w:autoSpaceDN w:val="0"/>
        <w:adjustRightInd w:val="0"/>
        <w:snapToGrid w:val="0"/>
        <w:spacing w:before="85" w:line="222" w:lineRule="auto"/>
        <w:textAlignment w:val="baseline"/>
        <w:rPr>
          <w:rFonts w:hint="eastAsia" w:ascii="仿宋" w:hAnsi="仿宋" w:eastAsia="仿宋" w:cs="仿宋"/>
          <w:b/>
          <w:bCs/>
          <w:snapToGrid w:val="0"/>
          <w:color w:val="000000"/>
          <w:spacing w:val="-16"/>
          <w:kern w:val="0"/>
          <w:sz w:val="26"/>
          <w:szCs w:val="26"/>
        </w:rPr>
      </w:pPr>
    </w:p>
    <w:p w14:paraId="2A13AE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小标宋_GBK" w:hAnsi="方正小标宋_GBK" w:eastAsia="方正小标宋_GBK" w:cs="方正小标宋_GBK"/>
          <w:color w:val="000000" w:themeColor="text1"/>
          <w:spacing w:val="11"/>
          <w:sz w:val="40"/>
          <w:szCs w:val="40"/>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pacing w:val="11"/>
          <w:sz w:val="40"/>
          <w:szCs w:val="40"/>
          <w:lang w:val="en-US" w:eastAsia="zh-CN"/>
          <w14:textFill>
            <w14:solidFill>
              <w14:schemeClr w14:val="tx1"/>
            </w14:solidFill>
          </w14:textFill>
        </w:rPr>
        <w:t>自愿住院治疗患者声明</w:t>
      </w:r>
    </w:p>
    <w:p w14:paraId="241F2206">
      <w:pPr>
        <w:keepNext w:val="0"/>
        <w:keepLines w:val="0"/>
        <w:pageBreakBefore w:val="0"/>
        <w:widowControl w:val="0"/>
        <w:kinsoku/>
        <w:wordWrap/>
        <w:overflowPunct/>
        <w:topLinePunct w:val="0"/>
        <w:autoSpaceDE/>
        <w:autoSpaceDN/>
        <w:bidi w:val="0"/>
        <w:spacing w:line="440" w:lineRule="exact"/>
        <w:ind w:firstLine="440" w:firstLineChars="200"/>
        <w:rPr>
          <w:rFonts w:hint="eastAsia" w:ascii="方正小标宋_GBK" w:hAnsi="方正小标宋_GBK" w:eastAsia="方正小标宋_GBK" w:cs="方正小标宋_GBK"/>
          <w:color w:val="000000" w:themeColor="text1"/>
          <w:spacing w:val="0"/>
          <w:kern w:val="0"/>
          <w:sz w:val="22"/>
          <w:szCs w:val="22"/>
          <w14:textFill>
            <w14:solidFill>
              <w14:schemeClr w14:val="tx1"/>
            </w14:solidFill>
          </w14:textFill>
        </w:rPr>
      </w:pPr>
    </w:p>
    <w:p w14:paraId="22B3AF59">
      <w:pPr>
        <w:keepNext w:val="0"/>
        <w:keepLines w:val="0"/>
        <w:pageBreakBefore w:val="0"/>
        <w:widowControl w:val="0"/>
        <w:kinsoku/>
        <w:wordWrap/>
        <w:overflowPunct/>
        <w:topLinePunct w:val="0"/>
        <w:autoSpaceDE/>
        <w:autoSpaceDN/>
        <w:bidi w:val="0"/>
        <w:adjustRightInd w:val="0"/>
        <w:snapToGrid w:val="0"/>
        <w:spacing w:line="440" w:lineRule="exact"/>
        <w:ind w:firstLine="440" w:firstLineChars="200"/>
        <w:textAlignment w:val="baseline"/>
        <w:rPr>
          <w:rFonts w:hint="eastAsia" w:ascii="仿宋_GB2312" w:hAnsi="仿宋_GB2312" w:eastAsia="仿宋_GB2312" w:cs="仿宋_GB2312"/>
          <w:snapToGrid w:val="0"/>
          <w:color w:val="000000" w:themeColor="text1"/>
          <w:spacing w:val="0"/>
          <w:kern w:val="0"/>
          <w:sz w:val="22"/>
          <w:szCs w:val="22"/>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2"/>
          <w:szCs w:val="22"/>
          <w14:textFill>
            <w14:solidFill>
              <w14:schemeClr w14:val="tx1"/>
            </w14:solidFill>
          </w14:textFill>
        </w:rPr>
        <w:t>我是患者           ，我自愿在                医院住院治疗。特此声明如下：</w:t>
      </w:r>
    </w:p>
    <w:p w14:paraId="1C7CF8D1">
      <w:pPr>
        <w:keepNext w:val="0"/>
        <w:keepLines w:val="0"/>
        <w:pageBreakBefore w:val="0"/>
        <w:widowControl w:val="0"/>
        <w:kinsoku/>
        <w:wordWrap/>
        <w:overflowPunct/>
        <w:topLinePunct w:val="0"/>
        <w:autoSpaceDE/>
        <w:autoSpaceDN/>
        <w:bidi w:val="0"/>
        <w:adjustRightInd w:val="0"/>
        <w:snapToGrid w:val="0"/>
        <w:spacing w:line="440" w:lineRule="exact"/>
        <w:ind w:firstLine="440" w:firstLineChars="200"/>
        <w:textAlignment w:val="baseline"/>
        <w:rPr>
          <w:rFonts w:hint="eastAsia" w:ascii="仿宋_GB2312" w:hAnsi="仿宋_GB2312" w:eastAsia="仿宋_GB2312" w:cs="仿宋_GB2312"/>
          <w:snapToGrid w:val="0"/>
          <w:color w:val="000000" w:themeColor="text1"/>
          <w:spacing w:val="0"/>
          <w:kern w:val="0"/>
          <w:sz w:val="22"/>
          <w:szCs w:val="22"/>
          <w14:textFill>
            <w14:solidFill>
              <w14:schemeClr w14:val="tx1"/>
            </w14:solidFill>
          </w14:textFill>
        </w:rPr>
      </w:pPr>
      <w:r>
        <w:rPr>
          <w:rFonts w:hint="eastAsia" w:ascii="Times New Roman" w:hAnsi="Times New Roman" w:eastAsia="仿宋_GB2312" w:cs="仿宋_GB2312"/>
          <w:snapToGrid w:val="0"/>
          <w:color w:val="000000" w:themeColor="text1"/>
          <w:spacing w:val="0"/>
          <w:kern w:val="0"/>
          <w:sz w:val="22"/>
          <w:szCs w:val="22"/>
          <w14:textFill>
            <w14:solidFill>
              <w14:schemeClr w14:val="tx1"/>
            </w14:solidFill>
          </w14:textFill>
        </w:rPr>
        <w:t>1</w:t>
      </w:r>
      <w:r>
        <w:rPr>
          <w:rFonts w:hint="eastAsia" w:ascii="仿宋_GB2312" w:hAnsi="仿宋_GB2312" w:eastAsia="仿宋_GB2312" w:cs="仿宋_GB2312"/>
          <w:snapToGrid w:val="0"/>
          <w:color w:val="000000" w:themeColor="text1"/>
          <w:spacing w:val="0"/>
          <w:kern w:val="0"/>
          <w:sz w:val="22"/>
          <w:szCs w:val="22"/>
          <w14:textFill>
            <w14:solidFill>
              <w14:schemeClr w14:val="tx1"/>
            </w14:solidFill>
          </w14:textFill>
        </w:rPr>
        <w:t>.我要求医务人员与我共同遵守《中华人民共和国精神卫生法》及国家</w:t>
      </w:r>
      <w:r>
        <w:rPr>
          <w:rFonts w:hint="eastAsia" w:ascii="仿宋_GB2312" w:hAnsi="仿宋_GB2312" w:eastAsia="仿宋_GB2312" w:cs="仿宋_GB2312"/>
          <w:snapToGrid w:val="0"/>
          <w:color w:val="000000" w:themeColor="text1"/>
          <w:spacing w:val="0"/>
          <w:kern w:val="0"/>
          <w:sz w:val="22"/>
          <w:szCs w:val="22"/>
          <w:lang w:val="en-US" w:eastAsia="zh-CN"/>
          <w14:textFill>
            <w14:solidFill>
              <w14:schemeClr w14:val="tx1"/>
            </w14:solidFill>
          </w14:textFill>
        </w:rPr>
        <w:t>其他</w:t>
      </w:r>
      <w:r>
        <w:rPr>
          <w:rFonts w:hint="eastAsia" w:ascii="仿宋_GB2312" w:hAnsi="仿宋_GB2312" w:eastAsia="仿宋_GB2312" w:cs="仿宋_GB2312"/>
          <w:snapToGrid w:val="0"/>
          <w:color w:val="000000" w:themeColor="text1"/>
          <w:spacing w:val="0"/>
          <w:kern w:val="0"/>
          <w:sz w:val="22"/>
          <w:szCs w:val="22"/>
          <w14:textFill>
            <w14:solidFill>
              <w14:schemeClr w14:val="tx1"/>
            </w14:solidFill>
          </w14:textFill>
        </w:rPr>
        <w:t>相关法律法规，共同维护我的合法权益。</w:t>
      </w:r>
    </w:p>
    <w:p w14:paraId="23C23B65">
      <w:pPr>
        <w:keepNext w:val="0"/>
        <w:keepLines w:val="0"/>
        <w:pageBreakBefore w:val="0"/>
        <w:widowControl w:val="0"/>
        <w:kinsoku/>
        <w:wordWrap/>
        <w:overflowPunct/>
        <w:topLinePunct w:val="0"/>
        <w:autoSpaceDE/>
        <w:autoSpaceDN/>
        <w:bidi w:val="0"/>
        <w:adjustRightInd w:val="0"/>
        <w:snapToGrid w:val="0"/>
        <w:spacing w:line="440" w:lineRule="exact"/>
        <w:ind w:firstLine="440" w:firstLineChars="200"/>
        <w:textAlignment w:val="baseline"/>
        <w:rPr>
          <w:rFonts w:hint="eastAsia" w:ascii="仿宋_GB2312" w:hAnsi="仿宋_GB2312" w:eastAsia="仿宋_GB2312" w:cs="仿宋_GB2312"/>
          <w:snapToGrid w:val="0"/>
          <w:color w:val="000000" w:themeColor="text1"/>
          <w:spacing w:val="0"/>
          <w:kern w:val="0"/>
          <w:sz w:val="22"/>
          <w:szCs w:val="22"/>
          <w14:textFill>
            <w14:solidFill>
              <w14:schemeClr w14:val="tx1"/>
            </w14:solidFill>
          </w14:textFill>
        </w:rPr>
      </w:pPr>
      <w:r>
        <w:rPr>
          <w:rFonts w:hint="eastAsia" w:ascii="Times New Roman" w:hAnsi="Times New Roman" w:eastAsia="仿宋_GB2312" w:cs="仿宋_GB2312"/>
          <w:snapToGrid w:val="0"/>
          <w:color w:val="000000" w:themeColor="text1"/>
          <w:spacing w:val="0"/>
          <w:kern w:val="0"/>
          <w:sz w:val="22"/>
          <w:szCs w:val="22"/>
          <w14:textFill>
            <w14:solidFill>
              <w14:schemeClr w14:val="tx1"/>
            </w14:solidFill>
          </w14:textFill>
        </w:rPr>
        <w:t>2</w:t>
      </w:r>
      <w:r>
        <w:rPr>
          <w:rFonts w:hint="eastAsia" w:ascii="仿宋_GB2312" w:hAnsi="仿宋_GB2312" w:eastAsia="仿宋_GB2312" w:cs="仿宋_GB2312"/>
          <w:snapToGrid w:val="0"/>
          <w:color w:val="000000" w:themeColor="text1"/>
          <w:spacing w:val="0"/>
          <w:kern w:val="0"/>
          <w:sz w:val="22"/>
          <w:szCs w:val="22"/>
          <w14:textFill>
            <w14:solidFill>
              <w14:schemeClr w14:val="tx1"/>
            </w14:solidFill>
          </w14:textFill>
        </w:rPr>
        <w:t>.我理解并已经签署《自愿住院治疗申请表》《自愿住院治疗入院知情同意书》《住院安全知情同意书》《无烟医院知情同意书》等文件，并承诺对我签署的文件有遵守的责任和义务。</w:t>
      </w:r>
    </w:p>
    <w:p w14:paraId="7885CC29">
      <w:pPr>
        <w:keepNext w:val="0"/>
        <w:keepLines w:val="0"/>
        <w:pageBreakBefore w:val="0"/>
        <w:widowControl w:val="0"/>
        <w:kinsoku/>
        <w:wordWrap/>
        <w:overflowPunct/>
        <w:topLinePunct w:val="0"/>
        <w:autoSpaceDE/>
        <w:autoSpaceDN/>
        <w:bidi w:val="0"/>
        <w:adjustRightInd w:val="0"/>
        <w:snapToGrid w:val="0"/>
        <w:spacing w:line="440" w:lineRule="exact"/>
        <w:ind w:firstLine="440" w:firstLineChars="200"/>
        <w:textAlignment w:val="baseline"/>
        <w:rPr>
          <w:rFonts w:hint="eastAsia" w:ascii="仿宋_GB2312" w:hAnsi="仿宋_GB2312" w:eastAsia="仿宋_GB2312" w:cs="仿宋_GB2312"/>
          <w:snapToGrid w:val="0"/>
          <w:color w:val="000000" w:themeColor="text1"/>
          <w:spacing w:val="0"/>
          <w:kern w:val="0"/>
          <w:sz w:val="22"/>
          <w:szCs w:val="22"/>
          <w14:textFill>
            <w14:solidFill>
              <w14:schemeClr w14:val="tx1"/>
            </w14:solidFill>
          </w14:textFill>
        </w:rPr>
      </w:pPr>
      <w:r>
        <w:rPr>
          <w:rFonts w:hint="eastAsia" w:ascii="Times New Roman" w:hAnsi="Times New Roman" w:eastAsia="仿宋_GB2312" w:cs="仿宋_GB2312"/>
          <w:snapToGrid w:val="0"/>
          <w:color w:val="000000" w:themeColor="text1"/>
          <w:spacing w:val="0"/>
          <w:kern w:val="0"/>
          <w:sz w:val="22"/>
          <w:szCs w:val="22"/>
          <w14:textFill>
            <w14:solidFill>
              <w14:schemeClr w14:val="tx1"/>
            </w14:solidFill>
          </w14:textFill>
        </w:rPr>
        <w:t>3</w:t>
      </w:r>
      <w:r>
        <w:rPr>
          <w:rFonts w:hint="eastAsia" w:ascii="仿宋_GB2312" w:hAnsi="仿宋_GB2312" w:eastAsia="仿宋_GB2312" w:cs="仿宋_GB2312"/>
          <w:snapToGrid w:val="0"/>
          <w:color w:val="000000" w:themeColor="text1"/>
          <w:spacing w:val="0"/>
          <w:kern w:val="0"/>
          <w:sz w:val="22"/>
          <w:szCs w:val="22"/>
          <w14:textFill>
            <w14:solidFill>
              <w14:schemeClr w14:val="tx1"/>
            </w14:solidFill>
          </w14:textFill>
        </w:rPr>
        <w:t>.作为自愿住院治疗的患者，我对自己的事务享有自主决定权，家属和其他任何人可以向我提出建议，但不得干预我的决定。</w:t>
      </w:r>
    </w:p>
    <w:p w14:paraId="3C40FB86">
      <w:pPr>
        <w:keepNext w:val="0"/>
        <w:keepLines w:val="0"/>
        <w:pageBreakBefore w:val="0"/>
        <w:widowControl w:val="0"/>
        <w:kinsoku/>
        <w:wordWrap/>
        <w:overflowPunct/>
        <w:topLinePunct w:val="0"/>
        <w:autoSpaceDE/>
        <w:autoSpaceDN/>
        <w:bidi w:val="0"/>
        <w:adjustRightInd w:val="0"/>
        <w:snapToGrid w:val="0"/>
        <w:spacing w:line="440" w:lineRule="exact"/>
        <w:ind w:firstLine="440" w:firstLineChars="200"/>
        <w:textAlignment w:val="baseline"/>
        <w:rPr>
          <w:rFonts w:hint="eastAsia" w:ascii="仿宋_GB2312" w:hAnsi="仿宋_GB2312" w:eastAsia="仿宋_GB2312" w:cs="仿宋_GB2312"/>
          <w:snapToGrid w:val="0"/>
          <w:color w:val="000000" w:themeColor="text1"/>
          <w:spacing w:val="0"/>
          <w:kern w:val="0"/>
          <w:sz w:val="22"/>
          <w:szCs w:val="22"/>
          <w14:textFill>
            <w14:solidFill>
              <w14:schemeClr w14:val="tx1"/>
            </w14:solidFill>
          </w14:textFill>
        </w:rPr>
      </w:pPr>
      <w:r>
        <w:rPr>
          <w:rFonts w:hint="eastAsia" w:ascii="Times New Roman" w:hAnsi="Times New Roman" w:eastAsia="仿宋_GB2312" w:cs="仿宋_GB2312"/>
          <w:snapToGrid w:val="0"/>
          <w:color w:val="000000" w:themeColor="text1"/>
          <w:spacing w:val="0"/>
          <w:kern w:val="0"/>
          <w:sz w:val="22"/>
          <w:szCs w:val="22"/>
          <w14:textFill>
            <w14:solidFill>
              <w14:schemeClr w14:val="tx1"/>
            </w14:solidFill>
          </w14:textFill>
        </w:rPr>
        <w:t>4</w:t>
      </w:r>
      <w:r>
        <w:rPr>
          <w:rFonts w:hint="eastAsia" w:ascii="仿宋_GB2312" w:hAnsi="仿宋_GB2312" w:eastAsia="仿宋_GB2312" w:cs="仿宋_GB2312"/>
          <w:snapToGrid w:val="0"/>
          <w:color w:val="000000" w:themeColor="text1"/>
          <w:spacing w:val="0"/>
          <w:kern w:val="0"/>
          <w:sz w:val="22"/>
          <w:szCs w:val="22"/>
          <w14:textFill>
            <w14:solidFill>
              <w14:schemeClr w14:val="tx1"/>
            </w14:solidFill>
          </w14:textFill>
        </w:rPr>
        <w:t>.如果我出现与医师在治疗方案上不能达成一致、拒不执行，或经常违背治疗约定，或经常违反医院或病房的规章制度且不能改正，影响医院正常的诊疗工作，或欠费而拒绝补交，或没有正当理由拒绝出院，或有触犯《中华人民共和国刑法》或《中华人民共和国治安管理处罚法》的行为等情况，我同意医院与我终止治疗关系。</w:t>
      </w:r>
    </w:p>
    <w:p w14:paraId="389466FB">
      <w:pPr>
        <w:keepNext w:val="0"/>
        <w:keepLines w:val="0"/>
        <w:pageBreakBefore w:val="0"/>
        <w:widowControl w:val="0"/>
        <w:kinsoku/>
        <w:wordWrap/>
        <w:overflowPunct/>
        <w:topLinePunct w:val="0"/>
        <w:autoSpaceDE/>
        <w:autoSpaceDN/>
        <w:bidi w:val="0"/>
        <w:adjustRightInd w:val="0"/>
        <w:snapToGrid w:val="0"/>
        <w:spacing w:line="440" w:lineRule="exact"/>
        <w:ind w:firstLine="440" w:firstLineChars="200"/>
        <w:textAlignment w:val="baseline"/>
        <w:rPr>
          <w:rFonts w:hint="eastAsia" w:ascii="仿宋_GB2312" w:hAnsi="仿宋_GB2312" w:eastAsia="仿宋_GB2312" w:cs="仿宋_GB2312"/>
          <w:snapToGrid w:val="0"/>
          <w:color w:val="000000" w:themeColor="text1"/>
          <w:spacing w:val="0"/>
          <w:kern w:val="0"/>
          <w:sz w:val="22"/>
          <w:szCs w:val="22"/>
          <w14:textFill>
            <w14:solidFill>
              <w14:schemeClr w14:val="tx1"/>
            </w14:solidFill>
          </w14:textFill>
        </w:rPr>
      </w:pPr>
      <w:r>
        <w:rPr>
          <w:rFonts w:hint="eastAsia" w:ascii="Times New Roman" w:hAnsi="Times New Roman" w:eastAsia="仿宋_GB2312" w:cs="仿宋_GB2312"/>
          <w:snapToGrid w:val="0"/>
          <w:color w:val="000000" w:themeColor="text1"/>
          <w:spacing w:val="0"/>
          <w:kern w:val="0"/>
          <w:sz w:val="22"/>
          <w:szCs w:val="22"/>
          <w14:textFill>
            <w14:solidFill>
              <w14:schemeClr w14:val="tx1"/>
            </w14:solidFill>
          </w14:textFill>
        </w:rPr>
        <w:t>5</w:t>
      </w:r>
      <w:r>
        <w:rPr>
          <w:rFonts w:hint="eastAsia" w:ascii="仿宋_GB2312" w:hAnsi="仿宋_GB2312" w:eastAsia="仿宋_GB2312" w:cs="仿宋_GB2312"/>
          <w:snapToGrid w:val="0"/>
          <w:color w:val="000000" w:themeColor="text1"/>
          <w:spacing w:val="0"/>
          <w:kern w:val="0"/>
          <w:sz w:val="22"/>
          <w:szCs w:val="22"/>
          <w14:textFill>
            <w14:solidFill>
              <w14:schemeClr w14:val="tx1"/>
            </w14:solidFill>
          </w14:textFill>
        </w:rPr>
        <w:t>.我可以随时要求出院。如果医生认为我不宜出院，应当向我说明理由，但最终由我自己决定。如果我仍然决定出院，属于自动出院，我将签署自动出院声明。我明白医生将把告知的内容和过程记录在病历上，并提出出院后的医学建议，由我签字确认。</w:t>
      </w:r>
    </w:p>
    <w:p w14:paraId="280116CB">
      <w:pPr>
        <w:keepNext w:val="0"/>
        <w:keepLines w:val="0"/>
        <w:pageBreakBefore w:val="0"/>
        <w:widowControl w:val="0"/>
        <w:kinsoku/>
        <w:wordWrap/>
        <w:overflowPunct/>
        <w:topLinePunct w:val="0"/>
        <w:autoSpaceDE/>
        <w:autoSpaceDN/>
        <w:bidi w:val="0"/>
        <w:adjustRightInd w:val="0"/>
        <w:snapToGrid w:val="0"/>
        <w:spacing w:line="440" w:lineRule="exact"/>
        <w:ind w:firstLine="440" w:firstLineChars="200"/>
        <w:textAlignment w:val="baseline"/>
        <w:rPr>
          <w:rFonts w:hint="eastAsia" w:ascii="仿宋_GB2312" w:hAnsi="仿宋_GB2312" w:eastAsia="仿宋_GB2312" w:cs="仿宋_GB2312"/>
          <w:snapToGrid w:val="0"/>
          <w:color w:val="000000" w:themeColor="text1"/>
          <w:spacing w:val="0"/>
          <w:kern w:val="0"/>
          <w:sz w:val="22"/>
          <w:szCs w:val="22"/>
          <w14:textFill>
            <w14:solidFill>
              <w14:schemeClr w14:val="tx1"/>
            </w14:solidFill>
          </w14:textFill>
        </w:rPr>
      </w:pPr>
      <w:r>
        <w:rPr>
          <w:rFonts w:hint="eastAsia" w:ascii="Times New Roman" w:hAnsi="Times New Roman" w:eastAsia="仿宋_GB2312" w:cs="仿宋_GB2312"/>
          <w:snapToGrid w:val="0"/>
          <w:color w:val="000000" w:themeColor="text1"/>
          <w:spacing w:val="0"/>
          <w:kern w:val="0"/>
          <w:sz w:val="22"/>
          <w:szCs w:val="22"/>
          <w14:textFill>
            <w14:solidFill>
              <w14:schemeClr w14:val="tx1"/>
            </w14:solidFill>
          </w14:textFill>
        </w:rPr>
        <w:t>6</w:t>
      </w:r>
      <w:r>
        <w:rPr>
          <w:rFonts w:hint="eastAsia" w:ascii="仿宋_GB2312" w:hAnsi="仿宋_GB2312" w:eastAsia="仿宋_GB2312" w:cs="仿宋_GB2312"/>
          <w:snapToGrid w:val="0"/>
          <w:color w:val="000000" w:themeColor="text1"/>
          <w:spacing w:val="0"/>
          <w:kern w:val="0"/>
          <w:sz w:val="22"/>
          <w:szCs w:val="22"/>
          <w14:textFill>
            <w14:solidFill>
              <w14:schemeClr w14:val="tx1"/>
            </w14:solidFill>
          </w14:textFill>
        </w:rPr>
        <w:t>.我声明，如果我对住院过程中的任何事宜与医院存在争议，可以协商解决，也可以按照《中华人民共和国精神卫生法》第八十二条的规定，依法提起诉讼。我明白，如果我与医院协商不能达成协议，但又不愿意依照法律处理异议和争议，医院也将依照法律的规定来处理。</w:t>
      </w:r>
    </w:p>
    <w:p w14:paraId="58C646A5">
      <w:pPr>
        <w:keepNext w:val="0"/>
        <w:keepLines w:val="0"/>
        <w:pageBreakBefore w:val="0"/>
        <w:widowControl w:val="0"/>
        <w:kinsoku/>
        <w:wordWrap/>
        <w:overflowPunct/>
        <w:topLinePunct w:val="0"/>
        <w:autoSpaceDE/>
        <w:autoSpaceDN/>
        <w:bidi w:val="0"/>
        <w:adjustRightInd w:val="0"/>
        <w:snapToGrid w:val="0"/>
        <w:spacing w:line="440" w:lineRule="exact"/>
        <w:ind w:firstLine="440" w:firstLineChars="200"/>
        <w:textAlignment w:val="baseline"/>
        <w:rPr>
          <w:rFonts w:hint="eastAsia" w:ascii="仿宋_GB2312" w:hAnsi="仿宋_GB2312" w:eastAsia="仿宋_GB2312" w:cs="仿宋_GB2312"/>
          <w:snapToGrid w:val="0"/>
          <w:color w:val="000000" w:themeColor="text1"/>
          <w:spacing w:val="0"/>
          <w:kern w:val="0"/>
          <w:sz w:val="22"/>
          <w:szCs w:val="22"/>
          <w14:textFill>
            <w14:solidFill>
              <w14:schemeClr w14:val="tx1"/>
            </w14:solidFill>
          </w14:textFill>
        </w:rPr>
      </w:pPr>
      <w:r>
        <w:rPr>
          <w:rFonts w:hint="eastAsia" w:ascii="Times New Roman" w:hAnsi="Times New Roman" w:eastAsia="仿宋_GB2312" w:cs="仿宋_GB2312"/>
          <w:snapToGrid w:val="0"/>
          <w:color w:val="000000" w:themeColor="text1"/>
          <w:spacing w:val="0"/>
          <w:kern w:val="0"/>
          <w:sz w:val="22"/>
          <w:szCs w:val="22"/>
          <w14:textFill>
            <w14:solidFill>
              <w14:schemeClr w14:val="tx1"/>
            </w14:solidFill>
          </w14:textFill>
        </w:rPr>
        <w:t>7</w:t>
      </w:r>
      <w:r>
        <w:rPr>
          <w:rFonts w:hint="eastAsia" w:ascii="仿宋_GB2312" w:hAnsi="仿宋_GB2312" w:eastAsia="仿宋_GB2312" w:cs="仿宋_GB2312"/>
          <w:snapToGrid w:val="0"/>
          <w:color w:val="000000" w:themeColor="text1"/>
          <w:spacing w:val="0"/>
          <w:kern w:val="0"/>
          <w:sz w:val="22"/>
          <w:szCs w:val="22"/>
          <w14:textFill>
            <w14:solidFill>
              <w14:schemeClr w14:val="tx1"/>
            </w14:solidFill>
          </w14:textFill>
        </w:rPr>
        <w:t>.我理解，经过我签署的这份声明将由医院保存，并可能作为诉讼证据。</w:t>
      </w:r>
    </w:p>
    <w:p w14:paraId="298EC417">
      <w:pPr>
        <w:keepNext w:val="0"/>
        <w:keepLines w:val="0"/>
        <w:pageBreakBefore w:val="0"/>
        <w:widowControl w:val="0"/>
        <w:kinsoku/>
        <w:wordWrap/>
        <w:overflowPunct/>
        <w:topLinePunct w:val="0"/>
        <w:autoSpaceDE/>
        <w:autoSpaceDN/>
        <w:bidi w:val="0"/>
        <w:adjustRightInd w:val="0"/>
        <w:snapToGrid w:val="0"/>
        <w:spacing w:line="440" w:lineRule="exact"/>
        <w:ind w:firstLine="440" w:firstLineChars="200"/>
        <w:textAlignment w:val="baseline"/>
        <w:rPr>
          <w:rFonts w:hint="eastAsia" w:ascii="仿宋_GB2312" w:hAnsi="仿宋_GB2312" w:eastAsia="仿宋_GB2312" w:cs="仿宋_GB2312"/>
          <w:snapToGrid w:val="0"/>
          <w:color w:val="000000" w:themeColor="text1"/>
          <w:spacing w:val="0"/>
          <w:kern w:val="0"/>
          <w:sz w:val="22"/>
          <w:szCs w:val="22"/>
          <w14:textFill>
            <w14:solidFill>
              <w14:schemeClr w14:val="tx1"/>
            </w14:solidFill>
          </w14:textFill>
        </w:rPr>
      </w:pPr>
    </w:p>
    <w:p w14:paraId="4F43C361">
      <w:pPr>
        <w:keepNext w:val="0"/>
        <w:keepLines w:val="0"/>
        <w:pageBreakBefore w:val="0"/>
        <w:widowControl w:val="0"/>
        <w:kinsoku/>
        <w:wordWrap/>
        <w:overflowPunct/>
        <w:topLinePunct w:val="0"/>
        <w:autoSpaceDE/>
        <w:autoSpaceDN/>
        <w:bidi w:val="0"/>
        <w:adjustRightInd w:val="0"/>
        <w:snapToGrid w:val="0"/>
        <w:spacing w:line="440" w:lineRule="exact"/>
        <w:ind w:firstLine="440" w:firstLineChars="200"/>
        <w:textAlignment w:val="baseline"/>
        <w:rPr>
          <w:rFonts w:hint="eastAsia" w:ascii="仿宋_GB2312" w:hAnsi="仿宋_GB2312" w:eastAsia="仿宋_GB2312" w:cs="仿宋_GB2312"/>
          <w:snapToGrid w:val="0"/>
          <w:color w:val="000000" w:themeColor="text1"/>
          <w:spacing w:val="0"/>
          <w:kern w:val="0"/>
          <w:sz w:val="22"/>
          <w:szCs w:val="22"/>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2"/>
          <w:szCs w:val="22"/>
          <w14:textFill>
            <w14:solidFill>
              <w14:schemeClr w14:val="tx1"/>
            </w14:solidFill>
          </w14:textFill>
        </w:rPr>
        <w:t>患者签名：                日期：        年      月    日</w:t>
      </w:r>
    </w:p>
    <w:p w14:paraId="7F971AE5">
      <w:pPr>
        <w:keepNext w:val="0"/>
        <w:keepLines w:val="0"/>
        <w:pageBreakBefore w:val="0"/>
        <w:widowControl w:val="0"/>
        <w:kinsoku/>
        <w:wordWrap/>
        <w:overflowPunct/>
        <w:topLinePunct w:val="0"/>
        <w:autoSpaceDE/>
        <w:autoSpaceDN/>
        <w:bidi w:val="0"/>
        <w:adjustRightInd w:val="0"/>
        <w:snapToGrid w:val="0"/>
        <w:spacing w:line="440" w:lineRule="exact"/>
        <w:ind w:firstLine="440" w:firstLineChars="200"/>
        <w:textAlignment w:val="baseline"/>
        <w:rPr>
          <w:rFonts w:hint="eastAsia" w:ascii="仿宋_GB2312" w:hAnsi="仿宋_GB2312" w:eastAsia="仿宋_GB2312" w:cs="仿宋_GB2312"/>
          <w:snapToGrid w:val="0"/>
          <w:color w:val="000000" w:themeColor="text1"/>
          <w:spacing w:val="0"/>
          <w:kern w:val="0"/>
          <w:sz w:val="22"/>
          <w:szCs w:val="22"/>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2"/>
          <w:szCs w:val="22"/>
          <w14:textFill>
            <w14:solidFill>
              <w14:schemeClr w14:val="tx1"/>
            </w14:solidFill>
          </w14:textFill>
        </w:rPr>
        <w:t>患者（年龄&lt;</w:t>
      </w:r>
      <w:r>
        <w:rPr>
          <w:rFonts w:hint="eastAsia" w:ascii="Times New Roman" w:hAnsi="Times New Roman" w:eastAsia="仿宋_GB2312" w:cs="仿宋_GB2312"/>
          <w:snapToGrid w:val="0"/>
          <w:color w:val="000000" w:themeColor="text1"/>
          <w:spacing w:val="0"/>
          <w:kern w:val="0"/>
          <w:sz w:val="22"/>
          <w:szCs w:val="22"/>
          <w14:textFill>
            <w14:solidFill>
              <w14:schemeClr w14:val="tx1"/>
            </w14:solidFill>
          </w14:textFill>
        </w:rPr>
        <w:t>18</w:t>
      </w:r>
      <w:r>
        <w:rPr>
          <w:rFonts w:hint="eastAsia" w:ascii="仿宋_GB2312" w:hAnsi="仿宋_GB2312" w:eastAsia="仿宋_GB2312" w:cs="仿宋_GB2312"/>
          <w:snapToGrid w:val="0"/>
          <w:color w:val="000000" w:themeColor="text1"/>
          <w:spacing w:val="0"/>
          <w:kern w:val="0"/>
          <w:sz w:val="22"/>
          <w:szCs w:val="22"/>
          <w14:textFill>
            <w14:solidFill>
              <w14:schemeClr w14:val="tx1"/>
            </w14:solidFill>
          </w14:textFill>
        </w:rPr>
        <w:t>岁）监护人签名：                  日期：     年     月     日</w:t>
      </w:r>
    </w:p>
    <w:p w14:paraId="1667F82D">
      <w:pPr>
        <w:pStyle w:val="9"/>
        <w:keepNext w:val="0"/>
        <w:keepLines w:val="0"/>
        <w:pageBreakBefore w:val="0"/>
        <w:widowControl w:val="0"/>
        <w:kinsoku/>
        <w:wordWrap/>
        <w:overflowPunct/>
        <w:topLinePunct w:val="0"/>
        <w:autoSpaceDE/>
        <w:autoSpaceDN/>
        <w:bidi w:val="0"/>
        <w:adjustRightInd/>
        <w:snapToGrid w:val="0"/>
        <w:spacing w:after="0"/>
        <w:textAlignment w:val="auto"/>
        <w:rPr>
          <w:rFonts w:hint="eastAsia" w:ascii="仿宋_GB2312" w:hAnsi="仿宋_GB2312" w:eastAsia="仿宋_GB2312" w:cs="仿宋_GB2312"/>
          <w:b/>
          <w:bCs/>
          <w:snapToGrid w:val="0"/>
          <w:spacing w:val="0"/>
          <w:kern w:val="0"/>
          <w:sz w:val="30"/>
          <w:szCs w:val="30"/>
        </w:rPr>
      </w:pPr>
    </w:p>
    <w:p w14:paraId="1D65BC36">
      <w:pPr>
        <w:pStyle w:val="9"/>
        <w:keepNext w:val="0"/>
        <w:keepLines w:val="0"/>
        <w:pageBreakBefore w:val="0"/>
        <w:widowControl w:val="0"/>
        <w:kinsoku/>
        <w:wordWrap/>
        <w:overflowPunct/>
        <w:topLinePunct w:val="0"/>
        <w:autoSpaceDE/>
        <w:autoSpaceDN/>
        <w:bidi w:val="0"/>
        <w:adjustRightInd/>
        <w:snapToGrid w:val="0"/>
        <w:spacing w:after="0"/>
        <w:textAlignment w:val="auto"/>
        <w:rPr>
          <w:rFonts w:hint="eastAsia" w:ascii="仿宋_GB2312" w:hAnsi="仿宋_GB2312" w:eastAsia="仿宋_GB2312" w:cs="仿宋_GB2312"/>
          <w:b/>
          <w:bCs/>
          <w:snapToGrid w:val="0"/>
          <w:spacing w:val="0"/>
          <w:kern w:val="0"/>
          <w:sz w:val="30"/>
          <w:szCs w:val="30"/>
        </w:rPr>
      </w:pPr>
    </w:p>
    <w:p w14:paraId="39B57D4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kern w:val="0"/>
          <w:sz w:val="32"/>
          <w:szCs w:val="32"/>
        </w:rPr>
      </w:pPr>
      <w:r>
        <w:rPr>
          <w:rFonts w:hint="eastAsia" w:ascii="黑体" w:hAnsi="黑体" w:eastAsia="黑体" w:cs="黑体"/>
          <w:kern w:val="0"/>
          <w:sz w:val="32"/>
          <w:szCs w:val="32"/>
        </w:rPr>
        <w:t>附</w:t>
      </w:r>
      <w:r>
        <w:rPr>
          <w:rFonts w:hint="eastAsia" w:ascii="Times New Roman" w:hAnsi="Times New Roman" w:eastAsia="黑体" w:cs="黑体"/>
          <w:kern w:val="0"/>
          <w:sz w:val="32"/>
          <w:szCs w:val="32"/>
        </w:rPr>
        <w:t>3</w:t>
      </w:r>
    </w:p>
    <w:p w14:paraId="0A96CD29">
      <w:pPr>
        <w:keepNext w:val="0"/>
        <w:keepLines w:val="0"/>
        <w:pageBreakBefore w:val="0"/>
        <w:widowControl w:val="0"/>
        <w:kinsoku/>
        <w:wordWrap/>
        <w:overflowPunct/>
        <w:topLinePunct w:val="0"/>
        <w:autoSpaceDE/>
        <w:autoSpaceDN/>
        <w:bidi w:val="0"/>
        <w:adjustRightInd w:val="0"/>
        <w:snapToGrid w:val="0"/>
        <w:spacing w:before="157" w:beforeLines="50" w:after="95" w:afterLines="30" w:line="240" w:lineRule="auto"/>
        <w:jc w:val="center"/>
        <w:textAlignment w:val="auto"/>
        <w:rPr>
          <w:rFonts w:hint="eastAsia" w:ascii="方正小标宋_GBK" w:hAnsi="方正小标宋_GBK" w:eastAsia="方正小标宋_GBK" w:cs="方正小标宋_GBK"/>
          <w:color w:val="000000" w:themeColor="text1"/>
          <w:spacing w:val="11"/>
          <w:sz w:val="40"/>
          <w:szCs w:val="40"/>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pacing w:val="11"/>
          <w:sz w:val="40"/>
          <w:szCs w:val="40"/>
          <w:lang w:val="en-US" w:eastAsia="zh-CN"/>
          <w14:textFill>
            <w14:solidFill>
              <w14:schemeClr w14:val="tx1"/>
            </w14:solidFill>
          </w14:textFill>
        </w:rPr>
        <w:t>非自愿住院治疗入院知情同意书</w:t>
      </w:r>
    </w:p>
    <w:p w14:paraId="05A1BEDD">
      <w:pPr>
        <w:widowControl/>
        <w:kinsoku w:val="0"/>
        <w:autoSpaceDE w:val="0"/>
        <w:autoSpaceDN w:val="0"/>
        <w:adjustRightInd w:val="0"/>
        <w:snapToGrid w:val="0"/>
        <w:spacing w:line="18" w:lineRule="exact"/>
        <w:textAlignment w:val="baseline"/>
        <w:rPr>
          <w:rFonts w:ascii="Arial" w:hAnsi="Arial" w:eastAsia="Arial" w:cs="Arial"/>
          <w:snapToGrid w:val="0"/>
          <w:color w:val="000000"/>
          <w:kern w:val="0"/>
          <w:szCs w:val="21"/>
        </w:rPr>
      </w:pPr>
    </w:p>
    <w:tbl>
      <w:tblPr>
        <w:tblStyle w:val="82"/>
        <w:tblW w:w="936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865"/>
        <w:gridCol w:w="1507"/>
        <w:gridCol w:w="836"/>
        <w:gridCol w:w="1214"/>
        <w:gridCol w:w="859"/>
        <w:gridCol w:w="1045"/>
        <w:gridCol w:w="1129"/>
        <w:gridCol w:w="1908"/>
      </w:tblGrid>
      <w:tr w14:paraId="64736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567" w:hRule="atLeast"/>
          <w:jc w:val="center"/>
        </w:trPr>
        <w:tc>
          <w:tcPr>
            <w:tcW w:w="865" w:type="dxa"/>
            <w:vAlign w:val="center"/>
          </w:tcPr>
          <w:p w14:paraId="3F836E27">
            <w:pPr>
              <w:keepNext w:val="0"/>
              <w:keepLines w:val="0"/>
              <w:pageBreakBefore w:val="0"/>
              <w:widowControl w:val="0"/>
              <w:kinsoku/>
              <w:wordWrap/>
              <w:overflowPunct/>
              <w:topLinePunct/>
              <w:autoSpaceDE w:val="0"/>
              <w:autoSpaceDN w:val="0"/>
              <w:bidi w:val="0"/>
              <w:adjustRightInd w:val="0"/>
              <w:snapToGrid w:val="0"/>
              <w:spacing w:line="400" w:lineRule="exact"/>
              <w:ind w:left="0" w:firstLine="0" w:firstLineChars="0"/>
              <w:jc w:val="center"/>
              <w:textAlignment w:val="baseline"/>
              <w:rPr>
                <w:rFonts w:hint="eastAsia" w:ascii="仿宋_GB2312" w:hAnsi="仿宋_GB2312" w:eastAsia="仿宋_GB2312" w:cs="仿宋_GB2312"/>
                <w:snapToGrid w:val="0"/>
                <w:color w:val="000000"/>
                <w:spacing w:val="0"/>
                <w:w w:val="100"/>
                <w:kern w:val="0"/>
                <w:sz w:val="22"/>
                <w:szCs w:val="22"/>
                <w:lang w:eastAsia="en-US"/>
              </w:rPr>
            </w:pPr>
            <w:r>
              <w:rPr>
                <w:rFonts w:hint="eastAsia" w:ascii="仿宋_GB2312" w:hAnsi="仿宋_GB2312" w:eastAsia="仿宋_GB2312" w:cs="仿宋_GB2312"/>
                <w:snapToGrid w:val="0"/>
                <w:color w:val="000000"/>
                <w:spacing w:val="0"/>
                <w:w w:val="100"/>
                <w:kern w:val="0"/>
                <w:sz w:val="22"/>
                <w:szCs w:val="22"/>
                <w:lang w:eastAsia="en-US"/>
              </w:rPr>
              <w:t>姓名</w:t>
            </w:r>
          </w:p>
        </w:tc>
        <w:tc>
          <w:tcPr>
            <w:tcW w:w="1507" w:type="dxa"/>
            <w:vAlign w:val="center"/>
          </w:tcPr>
          <w:p w14:paraId="43024EF5">
            <w:pPr>
              <w:keepNext w:val="0"/>
              <w:keepLines w:val="0"/>
              <w:pageBreakBefore w:val="0"/>
              <w:widowControl w:val="0"/>
              <w:kinsoku/>
              <w:wordWrap/>
              <w:overflowPunct/>
              <w:topLinePunct/>
              <w:autoSpaceDE w:val="0"/>
              <w:autoSpaceDN w:val="0"/>
              <w:bidi w:val="0"/>
              <w:adjustRightInd w:val="0"/>
              <w:snapToGrid w:val="0"/>
              <w:spacing w:line="400" w:lineRule="exact"/>
              <w:ind w:left="0" w:firstLine="0" w:firstLineChars="0"/>
              <w:jc w:val="center"/>
              <w:textAlignment w:val="baseline"/>
              <w:rPr>
                <w:rFonts w:hint="eastAsia" w:ascii="仿宋_GB2312" w:hAnsi="仿宋_GB2312" w:eastAsia="仿宋_GB2312" w:cs="仿宋_GB2312"/>
                <w:snapToGrid w:val="0"/>
                <w:color w:val="000000"/>
                <w:spacing w:val="0"/>
                <w:w w:val="100"/>
                <w:kern w:val="0"/>
                <w:sz w:val="22"/>
                <w:szCs w:val="22"/>
                <w:lang w:eastAsia="en-US"/>
              </w:rPr>
            </w:pPr>
          </w:p>
        </w:tc>
        <w:tc>
          <w:tcPr>
            <w:tcW w:w="836" w:type="dxa"/>
            <w:vAlign w:val="center"/>
          </w:tcPr>
          <w:p w14:paraId="055C9F1F">
            <w:pPr>
              <w:keepNext w:val="0"/>
              <w:keepLines w:val="0"/>
              <w:pageBreakBefore w:val="0"/>
              <w:widowControl w:val="0"/>
              <w:kinsoku/>
              <w:wordWrap/>
              <w:overflowPunct/>
              <w:topLinePunct/>
              <w:autoSpaceDE w:val="0"/>
              <w:autoSpaceDN w:val="0"/>
              <w:bidi w:val="0"/>
              <w:adjustRightInd w:val="0"/>
              <w:snapToGrid w:val="0"/>
              <w:spacing w:line="400" w:lineRule="exact"/>
              <w:ind w:left="0" w:firstLine="0" w:firstLineChars="0"/>
              <w:jc w:val="center"/>
              <w:textAlignment w:val="baseline"/>
              <w:rPr>
                <w:rFonts w:hint="eastAsia" w:ascii="仿宋_GB2312" w:hAnsi="仿宋_GB2312" w:eastAsia="仿宋_GB2312" w:cs="仿宋_GB2312"/>
                <w:snapToGrid w:val="0"/>
                <w:color w:val="000000"/>
                <w:spacing w:val="0"/>
                <w:w w:val="100"/>
                <w:kern w:val="0"/>
                <w:sz w:val="22"/>
                <w:szCs w:val="22"/>
                <w:lang w:eastAsia="en-US"/>
              </w:rPr>
            </w:pPr>
            <w:r>
              <w:rPr>
                <w:rFonts w:hint="eastAsia" w:ascii="仿宋_GB2312" w:hAnsi="仿宋_GB2312" w:eastAsia="仿宋_GB2312" w:cs="仿宋_GB2312"/>
                <w:snapToGrid w:val="0"/>
                <w:color w:val="000000"/>
                <w:spacing w:val="0"/>
                <w:w w:val="100"/>
                <w:kern w:val="0"/>
                <w:sz w:val="22"/>
                <w:szCs w:val="22"/>
                <w:lang w:eastAsia="en-US"/>
              </w:rPr>
              <w:t>性别</w:t>
            </w:r>
          </w:p>
        </w:tc>
        <w:tc>
          <w:tcPr>
            <w:tcW w:w="1214" w:type="dxa"/>
            <w:vAlign w:val="center"/>
          </w:tcPr>
          <w:p w14:paraId="4743773A">
            <w:pPr>
              <w:keepNext w:val="0"/>
              <w:keepLines w:val="0"/>
              <w:pageBreakBefore w:val="0"/>
              <w:widowControl w:val="0"/>
              <w:kinsoku/>
              <w:wordWrap/>
              <w:overflowPunct/>
              <w:topLinePunct/>
              <w:autoSpaceDE w:val="0"/>
              <w:autoSpaceDN w:val="0"/>
              <w:bidi w:val="0"/>
              <w:adjustRightInd w:val="0"/>
              <w:snapToGrid w:val="0"/>
              <w:spacing w:line="400" w:lineRule="exact"/>
              <w:ind w:left="0" w:firstLine="0" w:firstLineChars="0"/>
              <w:jc w:val="center"/>
              <w:textAlignment w:val="baseline"/>
              <w:rPr>
                <w:rFonts w:hint="eastAsia" w:ascii="仿宋_GB2312" w:hAnsi="仿宋_GB2312" w:eastAsia="仿宋_GB2312" w:cs="仿宋_GB2312"/>
                <w:snapToGrid w:val="0"/>
                <w:color w:val="000000"/>
                <w:spacing w:val="0"/>
                <w:w w:val="100"/>
                <w:kern w:val="0"/>
                <w:sz w:val="22"/>
                <w:szCs w:val="22"/>
                <w:lang w:eastAsia="en-US"/>
              </w:rPr>
            </w:pPr>
          </w:p>
        </w:tc>
        <w:tc>
          <w:tcPr>
            <w:tcW w:w="859" w:type="dxa"/>
            <w:vAlign w:val="center"/>
          </w:tcPr>
          <w:p w14:paraId="27C6F80D">
            <w:pPr>
              <w:keepNext w:val="0"/>
              <w:keepLines w:val="0"/>
              <w:pageBreakBefore w:val="0"/>
              <w:widowControl w:val="0"/>
              <w:kinsoku/>
              <w:wordWrap/>
              <w:overflowPunct/>
              <w:topLinePunct/>
              <w:autoSpaceDE w:val="0"/>
              <w:autoSpaceDN w:val="0"/>
              <w:bidi w:val="0"/>
              <w:adjustRightInd w:val="0"/>
              <w:snapToGrid w:val="0"/>
              <w:spacing w:line="400" w:lineRule="exact"/>
              <w:ind w:left="0" w:firstLine="0" w:firstLineChars="0"/>
              <w:jc w:val="center"/>
              <w:textAlignment w:val="baseline"/>
              <w:rPr>
                <w:rFonts w:hint="eastAsia" w:ascii="仿宋_GB2312" w:hAnsi="仿宋_GB2312" w:eastAsia="仿宋_GB2312" w:cs="仿宋_GB2312"/>
                <w:snapToGrid w:val="0"/>
                <w:color w:val="000000"/>
                <w:spacing w:val="0"/>
                <w:w w:val="100"/>
                <w:kern w:val="0"/>
                <w:sz w:val="22"/>
                <w:szCs w:val="22"/>
                <w:lang w:eastAsia="en-US"/>
              </w:rPr>
            </w:pPr>
            <w:r>
              <w:rPr>
                <w:rFonts w:hint="eastAsia" w:ascii="仿宋_GB2312" w:hAnsi="仿宋_GB2312" w:eastAsia="仿宋_GB2312" w:cs="仿宋_GB2312"/>
                <w:snapToGrid w:val="0"/>
                <w:color w:val="000000"/>
                <w:spacing w:val="0"/>
                <w:w w:val="100"/>
                <w:kern w:val="0"/>
                <w:sz w:val="22"/>
                <w:szCs w:val="22"/>
                <w:lang w:eastAsia="en-US"/>
              </w:rPr>
              <w:t>年龄</w:t>
            </w:r>
          </w:p>
        </w:tc>
        <w:tc>
          <w:tcPr>
            <w:tcW w:w="1045" w:type="dxa"/>
            <w:vAlign w:val="center"/>
          </w:tcPr>
          <w:p w14:paraId="392C9A7C">
            <w:pPr>
              <w:keepNext w:val="0"/>
              <w:keepLines w:val="0"/>
              <w:pageBreakBefore w:val="0"/>
              <w:widowControl w:val="0"/>
              <w:kinsoku/>
              <w:wordWrap/>
              <w:overflowPunct/>
              <w:topLinePunct/>
              <w:autoSpaceDE w:val="0"/>
              <w:autoSpaceDN w:val="0"/>
              <w:bidi w:val="0"/>
              <w:adjustRightInd w:val="0"/>
              <w:snapToGrid w:val="0"/>
              <w:spacing w:line="400" w:lineRule="exact"/>
              <w:ind w:left="0" w:firstLine="0" w:firstLineChars="0"/>
              <w:jc w:val="center"/>
              <w:textAlignment w:val="baseline"/>
              <w:rPr>
                <w:rFonts w:hint="eastAsia" w:ascii="仿宋_GB2312" w:hAnsi="仿宋_GB2312" w:eastAsia="仿宋_GB2312" w:cs="仿宋_GB2312"/>
                <w:snapToGrid w:val="0"/>
                <w:color w:val="000000"/>
                <w:spacing w:val="0"/>
                <w:w w:val="100"/>
                <w:kern w:val="0"/>
                <w:sz w:val="22"/>
                <w:szCs w:val="22"/>
                <w:lang w:eastAsia="en-US"/>
              </w:rPr>
            </w:pPr>
          </w:p>
        </w:tc>
        <w:tc>
          <w:tcPr>
            <w:tcW w:w="1129" w:type="dxa"/>
            <w:vAlign w:val="center"/>
          </w:tcPr>
          <w:p w14:paraId="706A1A18">
            <w:pPr>
              <w:keepNext w:val="0"/>
              <w:keepLines w:val="0"/>
              <w:pageBreakBefore w:val="0"/>
              <w:widowControl w:val="0"/>
              <w:kinsoku/>
              <w:wordWrap/>
              <w:overflowPunct/>
              <w:topLinePunct/>
              <w:autoSpaceDE w:val="0"/>
              <w:autoSpaceDN w:val="0"/>
              <w:bidi w:val="0"/>
              <w:adjustRightInd w:val="0"/>
              <w:snapToGrid w:val="0"/>
              <w:spacing w:line="400" w:lineRule="exact"/>
              <w:ind w:left="0" w:firstLine="0" w:firstLineChars="0"/>
              <w:jc w:val="center"/>
              <w:textAlignment w:val="baseline"/>
              <w:rPr>
                <w:rFonts w:hint="eastAsia" w:ascii="仿宋_GB2312" w:hAnsi="仿宋_GB2312" w:eastAsia="仿宋_GB2312" w:cs="仿宋_GB2312"/>
                <w:snapToGrid w:val="0"/>
                <w:color w:val="000000"/>
                <w:spacing w:val="0"/>
                <w:w w:val="100"/>
                <w:kern w:val="0"/>
                <w:sz w:val="22"/>
                <w:szCs w:val="22"/>
                <w:lang w:eastAsia="en-US"/>
              </w:rPr>
            </w:pPr>
            <w:r>
              <w:rPr>
                <w:rFonts w:hint="eastAsia" w:ascii="仿宋_GB2312" w:hAnsi="仿宋_GB2312" w:eastAsia="仿宋_GB2312" w:cs="仿宋_GB2312"/>
                <w:snapToGrid w:val="0"/>
                <w:color w:val="000000"/>
                <w:spacing w:val="0"/>
                <w:w w:val="100"/>
                <w:kern w:val="0"/>
                <w:sz w:val="22"/>
                <w:szCs w:val="22"/>
                <w:lang w:eastAsia="en-US"/>
              </w:rPr>
              <w:t>住院号</w:t>
            </w:r>
          </w:p>
        </w:tc>
        <w:tc>
          <w:tcPr>
            <w:tcW w:w="1908" w:type="dxa"/>
            <w:vAlign w:val="center"/>
          </w:tcPr>
          <w:p w14:paraId="18C21CA7">
            <w:pPr>
              <w:keepNext w:val="0"/>
              <w:keepLines w:val="0"/>
              <w:pageBreakBefore w:val="0"/>
              <w:widowControl w:val="0"/>
              <w:kinsoku/>
              <w:wordWrap/>
              <w:overflowPunct/>
              <w:topLinePunct/>
              <w:autoSpaceDE w:val="0"/>
              <w:autoSpaceDN w:val="0"/>
              <w:bidi w:val="0"/>
              <w:adjustRightInd w:val="0"/>
              <w:snapToGrid w:val="0"/>
              <w:spacing w:line="400" w:lineRule="exact"/>
              <w:ind w:left="0" w:firstLine="0" w:firstLineChars="0"/>
              <w:jc w:val="both"/>
              <w:textAlignment w:val="baseline"/>
              <w:rPr>
                <w:rFonts w:hint="eastAsia" w:ascii="仿宋_GB2312" w:hAnsi="仿宋_GB2312" w:eastAsia="仿宋_GB2312" w:cs="仿宋_GB2312"/>
                <w:snapToGrid w:val="0"/>
                <w:color w:val="000000"/>
                <w:spacing w:val="0"/>
                <w:w w:val="100"/>
                <w:kern w:val="0"/>
                <w:sz w:val="22"/>
                <w:szCs w:val="22"/>
                <w:lang w:eastAsia="en-US"/>
              </w:rPr>
            </w:pPr>
          </w:p>
        </w:tc>
      </w:tr>
      <w:tr w14:paraId="2F597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925" w:hRule="atLeast"/>
          <w:jc w:val="center"/>
        </w:trPr>
        <w:tc>
          <w:tcPr>
            <w:tcW w:w="9363" w:type="dxa"/>
            <w:gridSpan w:val="8"/>
            <w:vAlign w:val="center"/>
          </w:tcPr>
          <w:p w14:paraId="36B5A3B0">
            <w:pPr>
              <w:keepNext w:val="0"/>
              <w:keepLines w:val="0"/>
              <w:pageBreakBefore w:val="0"/>
              <w:widowControl w:val="0"/>
              <w:kinsoku/>
              <w:wordWrap/>
              <w:overflowPunct/>
              <w:topLinePunct/>
              <w:autoSpaceDE w:val="0"/>
              <w:autoSpaceDN w:val="0"/>
              <w:bidi w:val="0"/>
              <w:adjustRightInd w:val="0"/>
              <w:snapToGrid w:val="0"/>
              <w:spacing w:line="400" w:lineRule="exact"/>
              <w:ind w:left="0" w:firstLine="0" w:firstLineChars="0"/>
              <w:jc w:val="both"/>
              <w:textAlignment w:val="baseline"/>
              <w:rPr>
                <w:rFonts w:hint="eastAsia" w:ascii="仿宋_GB2312" w:hAnsi="仿宋_GB2312" w:eastAsia="仿宋_GB2312" w:cs="仿宋_GB2312"/>
                <w:snapToGrid w:val="0"/>
                <w:color w:val="000000"/>
                <w:spacing w:val="0"/>
                <w:w w:val="100"/>
                <w:kern w:val="0"/>
                <w:sz w:val="22"/>
                <w:szCs w:val="22"/>
              </w:rPr>
            </w:pPr>
            <w:r>
              <w:rPr>
                <w:rFonts w:hint="eastAsia" w:ascii="仿宋_GB2312" w:hAnsi="仿宋_GB2312" w:eastAsia="仿宋_GB2312" w:cs="仿宋_GB2312"/>
                <w:snapToGrid w:val="0"/>
                <w:color w:val="000000"/>
                <w:spacing w:val="0"/>
                <w:w w:val="100"/>
                <w:kern w:val="0"/>
                <w:sz w:val="22"/>
                <w:szCs w:val="22"/>
              </w:rPr>
              <w:t>尊敬的患者、患者家属：</w:t>
            </w:r>
          </w:p>
          <w:p w14:paraId="498E718E">
            <w:pPr>
              <w:keepNext w:val="0"/>
              <w:keepLines w:val="0"/>
              <w:pageBreakBefore w:val="0"/>
              <w:widowControl w:val="0"/>
              <w:kinsoku/>
              <w:wordWrap/>
              <w:overflowPunct/>
              <w:topLinePunct/>
              <w:autoSpaceDE w:val="0"/>
              <w:autoSpaceDN w:val="0"/>
              <w:bidi w:val="0"/>
              <w:adjustRightInd w:val="0"/>
              <w:snapToGrid w:val="0"/>
              <w:spacing w:line="400" w:lineRule="exact"/>
              <w:ind w:left="0" w:firstLine="0" w:firstLineChars="0"/>
              <w:jc w:val="both"/>
              <w:textAlignment w:val="baseline"/>
              <w:rPr>
                <w:rFonts w:hint="eastAsia" w:ascii="仿宋_GB2312" w:hAnsi="仿宋_GB2312" w:eastAsia="仿宋_GB2312" w:cs="仿宋_GB2312"/>
                <w:snapToGrid w:val="0"/>
                <w:color w:val="000000"/>
                <w:spacing w:val="0"/>
                <w:w w:val="100"/>
                <w:kern w:val="0"/>
                <w:sz w:val="22"/>
                <w:szCs w:val="22"/>
              </w:rPr>
            </w:pPr>
            <w:r>
              <w:rPr>
                <w:rFonts w:hint="eastAsia" w:ascii="仿宋_GB2312" w:hAnsi="仿宋_GB2312" w:eastAsia="仿宋_GB2312" w:cs="仿宋_GB2312"/>
                <w:snapToGrid w:val="0"/>
                <w:color w:val="000000"/>
                <w:spacing w:val="0"/>
                <w:w w:val="100"/>
                <w:kern w:val="0"/>
                <w:sz w:val="22"/>
                <w:szCs w:val="22"/>
              </w:rPr>
              <w:t>患者         作为非自愿住院治疗患者入住我院，现特就入院有关事项告知如下：</w:t>
            </w:r>
          </w:p>
        </w:tc>
      </w:tr>
      <w:tr w14:paraId="7255A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6491" w:hRule="atLeast"/>
          <w:jc w:val="center"/>
        </w:trPr>
        <w:tc>
          <w:tcPr>
            <w:tcW w:w="9363" w:type="dxa"/>
            <w:gridSpan w:val="8"/>
            <w:vAlign w:val="center"/>
          </w:tcPr>
          <w:p w14:paraId="4B97D43C">
            <w:pPr>
              <w:keepNext w:val="0"/>
              <w:keepLines w:val="0"/>
              <w:pageBreakBefore w:val="0"/>
              <w:widowControl w:val="0"/>
              <w:kinsoku/>
              <w:wordWrap/>
              <w:overflowPunct/>
              <w:topLinePunct/>
              <w:autoSpaceDE w:val="0"/>
              <w:autoSpaceDN w:val="0"/>
              <w:bidi w:val="0"/>
              <w:adjustRightInd w:val="0"/>
              <w:snapToGrid w:val="0"/>
              <w:spacing w:line="400" w:lineRule="exact"/>
              <w:jc w:val="both"/>
              <w:textAlignment w:val="baseline"/>
              <w:rPr>
                <w:rFonts w:hint="eastAsia" w:ascii="黑体" w:hAnsi="黑体" w:eastAsia="黑体" w:cs="黑体"/>
                <w:snapToGrid w:val="0"/>
                <w:color w:val="000000"/>
                <w:spacing w:val="0"/>
                <w:w w:val="100"/>
                <w:kern w:val="0"/>
                <w:sz w:val="22"/>
                <w:szCs w:val="22"/>
              </w:rPr>
            </w:pPr>
            <w:r>
              <w:rPr>
                <w:rFonts w:hint="eastAsia" w:ascii="黑体" w:hAnsi="黑体" w:eastAsia="黑体" w:cs="黑体"/>
                <w:snapToGrid w:val="0"/>
                <w:color w:val="000000"/>
                <w:spacing w:val="0"/>
                <w:w w:val="100"/>
                <w:kern w:val="0"/>
                <w:sz w:val="22"/>
                <w:szCs w:val="22"/>
              </w:rPr>
              <w:t>诊断与治疗</w:t>
            </w:r>
          </w:p>
          <w:p w14:paraId="3C0E1B32">
            <w:pPr>
              <w:keepNext w:val="0"/>
              <w:keepLines w:val="0"/>
              <w:pageBreakBefore w:val="0"/>
              <w:widowControl w:val="0"/>
              <w:kinsoku/>
              <w:wordWrap/>
              <w:overflowPunct/>
              <w:topLinePunct/>
              <w:autoSpaceDE w:val="0"/>
              <w:autoSpaceDN w:val="0"/>
              <w:bidi w:val="0"/>
              <w:adjustRightInd w:val="0"/>
              <w:snapToGrid w:val="0"/>
              <w:spacing w:line="400" w:lineRule="exact"/>
              <w:ind w:left="0" w:firstLine="440" w:firstLineChars="200"/>
              <w:jc w:val="both"/>
              <w:textAlignment w:val="baseline"/>
              <w:rPr>
                <w:rFonts w:hint="eastAsia" w:ascii="仿宋_GB2312" w:hAnsi="仿宋_GB2312" w:eastAsia="仿宋_GB2312" w:cs="仿宋_GB2312"/>
                <w:snapToGrid w:val="0"/>
                <w:color w:val="000000"/>
                <w:spacing w:val="0"/>
                <w:w w:val="100"/>
                <w:kern w:val="0"/>
                <w:sz w:val="22"/>
                <w:szCs w:val="22"/>
              </w:rPr>
            </w:pPr>
            <w:r>
              <w:rPr>
                <w:rFonts w:hint="eastAsia" w:ascii="仿宋_GB2312" w:hAnsi="仿宋_GB2312" w:eastAsia="仿宋_GB2312" w:cs="仿宋_GB2312"/>
                <w:snapToGrid w:val="0"/>
                <w:color w:val="000000"/>
                <w:spacing w:val="0"/>
                <w:w w:val="100"/>
                <w:kern w:val="0"/>
                <w:sz w:val="22"/>
                <w:szCs w:val="22"/>
              </w:rPr>
              <w:t>鉴于病史材料是精神障碍诊断和风险评估的重要依据，病史提供人应当提供真实、可靠的病史材料，并对病史材料的真实性、合法性负责。</w:t>
            </w:r>
          </w:p>
          <w:p w14:paraId="505F5A56">
            <w:pPr>
              <w:keepNext w:val="0"/>
              <w:keepLines w:val="0"/>
              <w:pageBreakBefore w:val="0"/>
              <w:widowControl w:val="0"/>
              <w:kinsoku/>
              <w:wordWrap/>
              <w:overflowPunct/>
              <w:topLinePunct/>
              <w:autoSpaceDE w:val="0"/>
              <w:autoSpaceDN w:val="0"/>
              <w:bidi w:val="0"/>
              <w:adjustRightInd w:val="0"/>
              <w:snapToGrid w:val="0"/>
              <w:spacing w:line="400" w:lineRule="exact"/>
              <w:ind w:left="0" w:firstLine="440" w:firstLineChars="200"/>
              <w:jc w:val="both"/>
              <w:textAlignment w:val="baseline"/>
              <w:rPr>
                <w:rFonts w:hint="eastAsia" w:ascii="仿宋_GB2312" w:hAnsi="仿宋_GB2312" w:eastAsia="仿宋_GB2312" w:cs="仿宋_GB2312"/>
                <w:snapToGrid w:val="0"/>
                <w:color w:val="000000"/>
                <w:spacing w:val="0"/>
                <w:w w:val="100"/>
                <w:kern w:val="0"/>
                <w:sz w:val="22"/>
                <w:szCs w:val="22"/>
              </w:rPr>
            </w:pPr>
            <w:r>
              <w:rPr>
                <w:rFonts w:hint="eastAsia" w:ascii="仿宋_GB2312" w:hAnsi="仿宋_GB2312" w:eastAsia="仿宋_GB2312" w:cs="仿宋_GB2312"/>
                <w:snapToGrid w:val="0"/>
                <w:color w:val="000000"/>
                <w:spacing w:val="0"/>
                <w:w w:val="100"/>
                <w:kern w:val="0"/>
                <w:sz w:val="22"/>
                <w:szCs w:val="22"/>
              </w:rPr>
              <w:t>患者、监护人或监护人授权的代理人对医师提出的诊断及治疗方案享有选择权和决定权，对非自愿住院患者实施治疗前，医师将尽最大可能取得患者本人的同意，如果患者不同意治疗，而医师认为不予治疗将对患者明显不利，只有在取得监护人或监护人授权的代理人同意后，才会实施治疗，如果监护人或监护人授权的代理人与医师在治疗问题上不能达成基本一致的意见，可以选择终止治疗关系，但符合《中华人民共和国精神卫生法》第三十条第二款情形的除外。</w:t>
            </w:r>
          </w:p>
          <w:p w14:paraId="24EDC8EB">
            <w:pPr>
              <w:keepNext w:val="0"/>
              <w:keepLines w:val="0"/>
              <w:pageBreakBefore w:val="0"/>
              <w:widowControl w:val="0"/>
              <w:kinsoku/>
              <w:wordWrap/>
              <w:overflowPunct/>
              <w:topLinePunct/>
              <w:autoSpaceDE w:val="0"/>
              <w:autoSpaceDN w:val="0"/>
              <w:bidi w:val="0"/>
              <w:adjustRightInd w:val="0"/>
              <w:snapToGrid w:val="0"/>
              <w:spacing w:line="400" w:lineRule="exact"/>
              <w:ind w:left="0" w:firstLine="440" w:firstLineChars="200"/>
              <w:jc w:val="both"/>
              <w:textAlignment w:val="baseline"/>
              <w:rPr>
                <w:rFonts w:hint="eastAsia" w:ascii="仿宋_GB2312" w:hAnsi="仿宋_GB2312" w:eastAsia="仿宋_GB2312" w:cs="仿宋_GB2312"/>
                <w:snapToGrid w:val="0"/>
                <w:color w:val="000000"/>
                <w:spacing w:val="0"/>
                <w:w w:val="100"/>
                <w:kern w:val="0"/>
                <w:sz w:val="22"/>
                <w:szCs w:val="22"/>
              </w:rPr>
            </w:pPr>
            <w:r>
              <w:rPr>
                <w:rFonts w:hint="eastAsia" w:ascii="仿宋_GB2312" w:hAnsi="仿宋_GB2312" w:eastAsia="仿宋_GB2312" w:cs="仿宋_GB2312"/>
                <w:snapToGrid w:val="0"/>
                <w:color w:val="000000"/>
                <w:spacing w:val="0"/>
                <w:w w:val="100"/>
                <w:kern w:val="0"/>
                <w:sz w:val="22"/>
                <w:szCs w:val="22"/>
              </w:rPr>
              <w:t>精神障碍患者住院期间，其监护人的法定监护责任并未转移，监护人应当通过探视或借助工具与患者及主治医生保持联系，履行监护职责。监护人发现患者病情变化，应及时向医师或护士反映，以便及时采取相应的治疗措施。</w:t>
            </w:r>
          </w:p>
          <w:p w14:paraId="2A02E8E1">
            <w:pPr>
              <w:keepNext w:val="0"/>
              <w:keepLines w:val="0"/>
              <w:pageBreakBefore w:val="0"/>
              <w:widowControl w:val="0"/>
              <w:kinsoku/>
              <w:wordWrap/>
              <w:overflowPunct/>
              <w:topLinePunct/>
              <w:autoSpaceDE w:val="0"/>
              <w:autoSpaceDN w:val="0"/>
              <w:bidi w:val="0"/>
              <w:adjustRightInd w:val="0"/>
              <w:snapToGrid w:val="0"/>
              <w:spacing w:line="400" w:lineRule="exact"/>
              <w:ind w:left="0" w:firstLine="440" w:firstLineChars="200"/>
              <w:jc w:val="both"/>
              <w:textAlignment w:val="baseline"/>
              <w:rPr>
                <w:rFonts w:hint="eastAsia" w:ascii="仿宋_GB2312" w:hAnsi="仿宋_GB2312" w:eastAsia="仿宋_GB2312" w:cs="仿宋_GB2312"/>
                <w:snapToGrid w:val="0"/>
                <w:color w:val="000000"/>
                <w:spacing w:val="0"/>
                <w:w w:val="100"/>
                <w:kern w:val="0"/>
                <w:sz w:val="22"/>
                <w:szCs w:val="22"/>
              </w:rPr>
            </w:pPr>
            <w:r>
              <w:rPr>
                <w:rFonts w:hint="eastAsia" w:ascii="仿宋_GB2312" w:hAnsi="仿宋_GB2312" w:eastAsia="仿宋_GB2312" w:cs="仿宋_GB2312"/>
                <w:snapToGrid w:val="0"/>
                <w:color w:val="000000"/>
                <w:spacing w:val="0"/>
                <w:w w:val="100"/>
                <w:kern w:val="0"/>
                <w:sz w:val="22"/>
                <w:szCs w:val="22"/>
              </w:rPr>
              <w:t>医师根据病情需要提出转院建议时，患者家属或监护人应配合医院妥善处理。患者若有躯体疾病，院方发现后将及时告知家属，家属或监护人接到通知后应及时赶赴医院，或陪伴或转院。</w:t>
            </w:r>
          </w:p>
          <w:p w14:paraId="53DF718E">
            <w:pPr>
              <w:keepNext w:val="0"/>
              <w:keepLines w:val="0"/>
              <w:pageBreakBefore w:val="0"/>
              <w:widowControl w:val="0"/>
              <w:kinsoku/>
              <w:wordWrap/>
              <w:overflowPunct/>
              <w:topLinePunct/>
              <w:autoSpaceDE w:val="0"/>
              <w:autoSpaceDN w:val="0"/>
              <w:bidi w:val="0"/>
              <w:adjustRightInd w:val="0"/>
              <w:snapToGrid w:val="0"/>
              <w:spacing w:line="400" w:lineRule="exact"/>
              <w:ind w:left="0" w:firstLine="440" w:firstLineChars="200"/>
              <w:jc w:val="both"/>
              <w:textAlignment w:val="baseline"/>
              <w:rPr>
                <w:rFonts w:hint="eastAsia" w:ascii="仿宋_GB2312" w:hAnsi="仿宋_GB2312" w:eastAsia="仿宋_GB2312" w:cs="仿宋_GB2312"/>
                <w:snapToGrid w:val="0"/>
                <w:color w:val="000000"/>
                <w:spacing w:val="0"/>
                <w:w w:val="100"/>
                <w:kern w:val="0"/>
                <w:sz w:val="22"/>
                <w:szCs w:val="22"/>
              </w:rPr>
            </w:pPr>
            <w:r>
              <w:rPr>
                <w:rFonts w:hint="eastAsia" w:ascii="仿宋_GB2312" w:hAnsi="仿宋_GB2312" w:eastAsia="仿宋_GB2312" w:cs="仿宋_GB2312"/>
                <w:snapToGrid w:val="0"/>
                <w:color w:val="000000"/>
                <w:spacing w:val="0"/>
                <w:w w:val="100"/>
                <w:kern w:val="0"/>
                <w:sz w:val="22"/>
                <w:szCs w:val="22"/>
              </w:rPr>
              <w:t>老年患者，住院期间可能自行跌倒，造成骨折等意外情况。</w:t>
            </w:r>
          </w:p>
          <w:p w14:paraId="463C0302">
            <w:pPr>
              <w:keepNext w:val="0"/>
              <w:keepLines w:val="0"/>
              <w:pageBreakBefore w:val="0"/>
              <w:widowControl w:val="0"/>
              <w:kinsoku/>
              <w:wordWrap/>
              <w:overflowPunct/>
              <w:topLinePunct/>
              <w:autoSpaceDE w:val="0"/>
              <w:autoSpaceDN w:val="0"/>
              <w:bidi w:val="0"/>
              <w:adjustRightInd w:val="0"/>
              <w:snapToGrid w:val="0"/>
              <w:spacing w:line="400" w:lineRule="exact"/>
              <w:ind w:left="0" w:firstLine="440" w:firstLineChars="200"/>
              <w:jc w:val="both"/>
              <w:textAlignment w:val="baseline"/>
              <w:rPr>
                <w:rFonts w:hint="eastAsia" w:ascii="仿宋_GB2312" w:hAnsi="仿宋_GB2312" w:eastAsia="仿宋_GB2312" w:cs="仿宋_GB2312"/>
                <w:snapToGrid w:val="0"/>
                <w:color w:val="000000"/>
                <w:spacing w:val="0"/>
                <w:w w:val="100"/>
                <w:kern w:val="0"/>
                <w:sz w:val="22"/>
                <w:szCs w:val="22"/>
              </w:rPr>
            </w:pPr>
            <w:r>
              <w:rPr>
                <w:rFonts w:hint="eastAsia" w:ascii="仿宋_GB2312" w:hAnsi="仿宋_GB2312" w:eastAsia="仿宋_GB2312" w:cs="仿宋_GB2312"/>
                <w:snapToGrid w:val="0"/>
                <w:color w:val="000000"/>
                <w:spacing w:val="0"/>
                <w:w w:val="100"/>
                <w:kern w:val="0"/>
                <w:sz w:val="22"/>
                <w:szCs w:val="22"/>
              </w:rPr>
              <w:t>非自愿住院患者住院期间，可能出现擅自离院情况，若患者擅自离院，医院会立即寻找并通知其监护人。近亲属和监护人应积极参与寻找，发现后应立即通知医院并协助将其送回。</w:t>
            </w:r>
          </w:p>
        </w:tc>
      </w:tr>
      <w:tr w14:paraId="29F7A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308" w:hRule="atLeast"/>
          <w:jc w:val="center"/>
        </w:trPr>
        <w:tc>
          <w:tcPr>
            <w:tcW w:w="9363" w:type="dxa"/>
            <w:gridSpan w:val="8"/>
            <w:vAlign w:val="center"/>
          </w:tcPr>
          <w:p w14:paraId="03CF8BFF">
            <w:pPr>
              <w:keepNext w:val="0"/>
              <w:keepLines w:val="0"/>
              <w:pageBreakBefore w:val="0"/>
              <w:widowControl w:val="0"/>
              <w:kinsoku/>
              <w:wordWrap/>
              <w:overflowPunct/>
              <w:topLinePunct/>
              <w:autoSpaceDE w:val="0"/>
              <w:autoSpaceDN w:val="0"/>
              <w:bidi w:val="0"/>
              <w:adjustRightInd w:val="0"/>
              <w:snapToGrid w:val="0"/>
              <w:spacing w:line="400" w:lineRule="exact"/>
              <w:jc w:val="both"/>
              <w:textAlignment w:val="baseline"/>
              <w:rPr>
                <w:rFonts w:hint="eastAsia" w:ascii="黑体" w:hAnsi="黑体" w:eastAsia="黑体" w:cs="黑体"/>
                <w:snapToGrid w:val="0"/>
                <w:color w:val="000000"/>
                <w:spacing w:val="0"/>
                <w:w w:val="100"/>
                <w:kern w:val="0"/>
                <w:sz w:val="22"/>
                <w:szCs w:val="22"/>
              </w:rPr>
            </w:pPr>
            <w:r>
              <w:rPr>
                <w:rFonts w:hint="eastAsia" w:ascii="黑体" w:hAnsi="黑体" w:eastAsia="黑体" w:cs="黑体"/>
                <w:snapToGrid w:val="0"/>
                <w:color w:val="000000"/>
                <w:spacing w:val="0"/>
                <w:w w:val="100"/>
                <w:kern w:val="0"/>
                <w:sz w:val="22"/>
                <w:szCs w:val="22"/>
              </w:rPr>
              <w:t>信息查询</w:t>
            </w:r>
          </w:p>
          <w:p w14:paraId="03AA4CA9">
            <w:pPr>
              <w:keepNext w:val="0"/>
              <w:keepLines w:val="0"/>
              <w:pageBreakBefore w:val="0"/>
              <w:widowControl w:val="0"/>
              <w:kinsoku/>
              <w:wordWrap/>
              <w:overflowPunct/>
              <w:topLinePunct/>
              <w:autoSpaceDE w:val="0"/>
              <w:autoSpaceDN w:val="0"/>
              <w:bidi w:val="0"/>
              <w:adjustRightInd w:val="0"/>
              <w:snapToGrid w:val="0"/>
              <w:spacing w:line="400" w:lineRule="exact"/>
              <w:ind w:left="0" w:firstLine="440" w:firstLineChars="200"/>
              <w:jc w:val="both"/>
              <w:textAlignment w:val="baseline"/>
              <w:rPr>
                <w:rFonts w:hint="eastAsia" w:ascii="仿宋_GB2312" w:hAnsi="仿宋_GB2312" w:eastAsia="仿宋_GB2312" w:cs="仿宋_GB2312"/>
                <w:snapToGrid w:val="0"/>
                <w:color w:val="000000"/>
                <w:spacing w:val="0"/>
                <w:w w:val="100"/>
                <w:kern w:val="0"/>
                <w:sz w:val="22"/>
                <w:szCs w:val="22"/>
              </w:rPr>
            </w:pPr>
            <w:r>
              <w:rPr>
                <w:rFonts w:hint="eastAsia" w:ascii="Times New Roman" w:hAnsi="Times New Roman" w:eastAsia="仿宋_GB2312" w:cs="仿宋_GB2312"/>
                <w:snapToGrid w:val="0"/>
                <w:color w:val="000000"/>
                <w:spacing w:val="0"/>
                <w:w w:val="100"/>
                <w:kern w:val="0"/>
                <w:sz w:val="22"/>
                <w:szCs w:val="22"/>
              </w:rPr>
              <w:t>1</w:t>
            </w:r>
            <w:r>
              <w:rPr>
                <w:rFonts w:hint="eastAsia" w:ascii="仿宋_GB2312" w:hAnsi="仿宋_GB2312" w:eastAsia="仿宋_GB2312" w:cs="仿宋_GB2312"/>
                <w:snapToGrid w:val="0"/>
                <w:color w:val="000000"/>
                <w:spacing w:val="0"/>
                <w:w w:val="100"/>
                <w:kern w:val="0"/>
                <w:sz w:val="22"/>
                <w:szCs w:val="22"/>
              </w:rPr>
              <w:t>.患者及其监护人可以查阅、复制病历资料；但是，患者查阅、复制病历资料可能对其治疗产生不利影响的除外。</w:t>
            </w:r>
          </w:p>
          <w:p w14:paraId="1CA18A39">
            <w:pPr>
              <w:keepNext w:val="0"/>
              <w:keepLines w:val="0"/>
              <w:pageBreakBefore w:val="0"/>
              <w:widowControl w:val="0"/>
              <w:kinsoku/>
              <w:wordWrap/>
              <w:overflowPunct/>
              <w:topLinePunct/>
              <w:autoSpaceDE w:val="0"/>
              <w:autoSpaceDN w:val="0"/>
              <w:bidi w:val="0"/>
              <w:adjustRightInd w:val="0"/>
              <w:snapToGrid w:val="0"/>
              <w:spacing w:line="400" w:lineRule="exact"/>
              <w:ind w:left="0" w:firstLine="440" w:firstLineChars="200"/>
              <w:jc w:val="both"/>
              <w:textAlignment w:val="baseline"/>
              <w:rPr>
                <w:rFonts w:hint="eastAsia" w:ascii="仿宋_GB2312" w:hAnsi="仿宋_GB2312" w:eastAsia="仿宋_GB2312" w:cs="仿宋_GB2312"/>
                <w:snapToGrid w:val="0"/>
                <w:color w:val="000000"/>
                <w:spacing w:val="0"/>
                <w:w w:val="100"/>
                <w:kern w:val="0"/>
                <w:sz w:val="22"/>
                <w:szCs w:val="22"/>
              </w:rPr>
            </w:pPr>
            <w:r>
              <w:rPr>
                <w:rFonts w:hint="eastAsia" w:ascii="Times New Roman" w:hAnsi="Times New Roman" w:eastAsia="仿宋_GB2312" w:cs="仿宋_GB2312"/>
                <w:snapToGrid w:val="0"/>
                <w:color w:val="000000"/>
                <w:spacing w:val="0"/>
                <w:w w:val="100"/>
                <w:kern w:val="0"/>
                <w:sz w:val="22"/>
                <w:szCs w:val="22"/>
              </w:rPr>
              <w:t>2</w:t>
            </w:r>
            <w:r>
              <w:rPr>
                <w:rFonts w:hint="eastAsia" w:ascii="仿宋_GB2312" w:hAnsi="仿宋_GB2312" w:eastAsia="仿宋_GB2312" w:cs="仿宋_GB2312"/>
                <w:snapToGrid w:val="0"/>
                <w:color w:val="000000"/>
                <w:spacing w:val="0"/>
                <w:w w:val="100"/>
                <w:kern w:val="0"/>
                <w:sz w:val="22"/>
                <w:szCs w:val="22"/>
              </w:rPr>
              <w:t>.患者或者其监护人可以在患者最后一次门诊或者最近一次出院后的</w:t>
            </w:r>
            <w:r>
              <w:rPr>
                <w:rFonts w:hint="eastAsia" w:ascii="Times New Roman" w:hAnsi="Times New Roman" w:eastAsia="仿宋_GB2312" w:cs="仿宋_GB2312"/>
                <w:snapToGrid w:val="0"/>
                <w:color w:val="000000"/>
                <w:spacing w:val="0"/>
                <w:w w:val="100"/>
                <w:kern w:val="0"/>
                <w:sz w:val="22"/>
                <w:szCs w:val="22"/>
              </w:rPr>
              <w:t>2</w:t>
            </w:r>
            <w:r>
              <w:rPr>
                <w:rFonts w:hint="eastAsia" w:ascii="仿宋_GB2312" w:hAnsi="仿宋_GB2312" w:eastAsia="仿宋_GB2312" w:cs="仿宋_GB2312"/>
                <w:snapToGrid w:val="0"/>
                <w:color w:val="000000"/>
                <w:spacing w:val="0"/>
                <w:w w:val="100"/>
                <w:kern w:val="0"/>
                <w:sz w:val="22"/>
                <w:szCs w:val="22"/>
              </w:rPr>
              <w:t>年内向医疗机构病案室或就诊的医疗机构申请书面诊断结论。</w:t>
            </w:r>
          </w:p>
          <w:p w14:paraId="75CCEC9E">
            <w:pPr>
              <w:keepNext w:val="0"/>
              <w:keepLines w:val="0"/>
              <w:pageBreakBefore w:val="0"/>
              <w:widowControl w:val="0"/>
              <w:kinsoku/>
              <w:wordWrap/>
              <w:overflowPunct/>
              <w:topLinePunct/>
              <w:autoSpaceDE w:val="0"/>
              <w:autoSpaceDN w:val="0"/>
              <w:bidi w:val="0"/>
              <w:adjustRightInd w:val="0"/>
              <w:snapToGrid w:val="0"/>
              <w:spacing w:line="400" w:lineRule="exact"/>
              <w:ind w:left="0" w:firstLine="440" w:firstLineChars="200"/>
              <w:jc w:val="both"/>
              <w:textAlignment w:val="baseline"/>
              <w:rPr>
                <w:rFonts w:hint="eastAsia" w:ascii="仿宋_GB2312" w:hAnsi="仿宋_GB2312" w:eastAsia="仿宋_GB2312" w:cs="仿宋_GB2312"/>
                <w:snapToGrid w:val="0"/>
                <w:color w:val="000000"/>
                <w:spacing w:val="0"/>
                <w:w w:val="100"/>
                <w:kern w:val="0"/>
                <w:sz w:val="22"/>
                <w:szCs w:val="22"/>
              </w:rPr>
            </w:pPr>
            <w:r>
              <w:rPr>
                <w:rFonts w:hint="eastAsia" w:ascii="Times New Roman" w:hAnsi="Times New Roman" w:eastAsia="仿宋_GB2312" w:cs="仿宋_GB2312"/>
                <w:snapToGrid w:val="0"/>
                <w:color w:val="000000"/>
                <w:spacing w:val="0"/>
                <w:w w:val="100"/>
                <w:kern w:val="0"/>
                <w:sz w:val="22"/>
                <w:szCs w:val="22"/>
              </w:rPr>
              <w:t>3</w:t>
            </w:r>
            <w:r>
              <w:rPr>
                <w:rFonts w:hint="eastAsia" w:ascii="仿宋_GB2312" w:hAnsi="仿宋_GB2312" w:eastAsia="仿宋_GB2312" w:cs="仿宋_GB2312"/>
                <w:snapToGrid w:val="0"/>
                <w:color w:val="000000"/>
                <w:spacing w:val="0"/>
                <w:w w:val="100"/>
                <w:kern w:val="0"/>
                <w:sz w:val="22"/>
                <w:szCs w:val="22"/>
              </w:rPr>
              <w:t>.患者本人索要书面诊断结论时，必须提交有效身份证明及写明索要理由的申请书；监护人索要书面诊断结论时，必须提交有效的身份证明、与患者代理关系的法定证明材料及写明索要理由的申请书。</w:t>
            </w:r>
          </w:p>
        </w:tc>
      </w:tr>
      <w:tr w14:paraId="613EDB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25" w:hRule="atLeast"/>
          <w:jc w:val="center"/>
        </w:trPr>
        <w:tc>
          <w:tcPr>
            <w:tcW w:w="9363" w:type="dxa"/>
            <w:gridSpan w:val="8"/>
            <w:vAlign w:val="center"/>
          </w:tcPr>
          <w:p w14:paraId="717B6D84">
            <w:pPr>
              <w:keepNext w:val="0"/>
              <w:keepLines w:val="0"/>
              <w:pageBreakBefore w:val="0"/>
              <w:widowControl w:val="0"/>
              <w:kinsoku/>
              <w:wordWrap/>
              <w:overflowPunct/>
              <w:topLinePunct/>
              <w:autoSpaceDE w:val="0"/>
              <w:autoSpaceDN w:val="0"/>
              <w:bidi w:val="0"/>
              <w:adjustRightInd w:val="0"/>
              <w:snapToGrid w:val="0"/>
              <w:spacing w:line="400" w:lineRule="exact"/>
              <w:jc w:val="both"/>
              <w:textAlignment w:val="baseline"/>
              <w:rPr>
                <w:rFonts w:hint="eastAsia" w:ascii="黑体" w:hAnsi="黑体" w:eastAsia="黑体" w:cs="黑体"/>
                <w:snapToGrid w:val="0"/>
                <w:color w:val="000000"/>
                <w:spacing w:val="0"/>
                <w:w w:val="100"/>
                <w:kern w:val="0"/>
                <w:sz w:val="22"/>
                <w:szCs w:val="22"/>
              </w:rPr>
            </w:pPr>
            <w:r>
              <w:rPr>
                <w:rFonts w:hint="eastAsia" w:ascii="黑体" w:hAnsi="黑体" w:eastAsia="黑体" w:cs="黑体"/>
                <w:snapToGrid w:val="0"/>
                <w:color w:val="000000"/>
                <w:spacing w:val="0"/>
                <w:w w:val="100"/>
                <w:kern w:val="0"/>
                <w:sz w:val="22"/>
                <w:szCs w:val="22"/>
              </w:rPr>
              <w:t>知情同意</w:t>
            </w:r>
          </w:p>
          <w:p w14:paraId="6C98A0A0">
            <w:pPr>
              <w:keepNext w:val="0"/>
              <w:keepLines w:val="0"/>
              <w:pageBreakBefore w:val="0"/>
              <w:widowControl w:val="0"/>
              <w:kinsoku/>
              <w:wordWrap/>
              <w:overflowPunct/>
              <w:topLinePunct/>
              <w:autoSpaceDE w:val="0"/>
              <w:autoSpaceDN w:val="0"/>
              <w:bidi w:val="0"/>
              <w:adjustRightInd w:val="0"/>
              <w:snapToGrid w:val="0"/>
              <w:spacing w:line="400" w:lineRule="exact"/>
              <w:ind w:left="0" w:firstLine="440" w:firstLineChars="200"/>
              <w:jc w:val="both"/>
              <w:textAlignment w:val="baseline"/>
              <w:rPr>
                <w:rFonts w:hint="eastAsia" w:ascii="仿宋_GB2312" w:hAnsi="仿宋_GB2312" w:eastAsia="仿宋_GB2312" w:cs="仿宋_GB2312"/>
                <w:snapToGrid w:val="0"/>
                <w:color w:val="000000"/>
                <w:spacing w:val="0"/>
                <w:w w:val="100"/>
                <w:kern w:val="0"/>
                <w:sz w:val="22"/>
                <w:szCs w:val="22"/>
              </w:rPr>
            </w:pPr>
            <w:r>
              <w:rPr>
                <w:rFonts w:hint="eastAsia" w:ascii="仿宋_GB2312" w:hAnsi="仿宋_GB2312" w:eastAsia="仿宋_GB2312" w:cs="仿宋_GB2312"/>
                <w:snapToGrid w:val="0"/>
                <w:color w:val="000000"/>
                <w:spacing w:val="0"/>
                <w:w w:val="100"/>
                <w:kern w:val="0"/>
                <w:sz w:val="22"/>
                <w:szCs w:val="22"/>
              </w:rPr>
              <w:t>患者及监护人的知情同意权在以下情况下可能受到暂时的限制：</w:t>
            </w:r>
          </w:p>
          <w:p w14:paraId="3ECC33F1">
            <w:pPr>
              <w:keepNext w:val="0"/>
              <w:keepLines w:val="0"/>
              <w:pageBreakBefore w:val="0"/>
              <w:widowControl w:val="0"/>
              <w:kinsoku/>
              <w:wordWrap/>
              <w:overflowPunct/>
              <w:topLinePunct/>
              <w:autoSpaceDE w:val="0"/>
              <w:autoSpaceDN w:val="0"/>
              <w:bidi w:val="0"/>
              <w:adjustRightInd w:val="0"/>
              <w:snapToGrid w:val="0"/>
              <w:spacing w:line="400" w:lineRule="exact"/>
              <w:ind w:left="0" w:firstLine="440" w:firstLineChars="200"/>
              <w:jc w:val="both"/>
              <w:textAlignment w:val="baseline"/>
              <w:rPr>
                <w:rFonts w:hint="eastAsia" w:ascii="仿宋_GB2312" w:hAnsi="仿宋_GB2312" w:eastAsia="仿宋_GB2312" w:cs="仿宋_GB2312"/>
                <w:snapToGrid w:val="0"/>
                <w:color w:val="000000"/>
                <w:spacing w:val="0"/>
                <w:w w:val="100"/>
                <w:kern w:val="0"/>
                <w:sz w:val="22"/>
                <w:szCs w:val="22"/>
              </w:rPr>
            </w:pPr>
            <w:r>
              <w:rPr>
                <w:rFonts w:hint="eastAsia" w:ascii="Times New Roman" w:hAnsi="Times New Roman" w:eastAsia="仿宋_GB2312" w:cs="仿宋_GB2312"/>
                <w:snapToGrid w:val="0"/>
                <w:color w:val="000000"/>
                <w:spacing w:val="0"/>
                <w:w w:val="100"/>
                <w:kern w:val="0"/>
                <w:sz w:val="22"/>
                <w:szCs w:val="22"/>
              </w:rPr>
              <w:t>1</w:t>
            </w:r>
            <w:r>
              <w:rPr>
                <w:rFonts w:hint="eastAsia" w:ascii="仿宋_GB2312" w:hAnsi="仿宋_GB2312" w:eastAsia="仿宋_GB2312" w:cs="仿宋_GB2312"/>
                <w:snapToGrid w:val="0"/>
                <w:color w:val="000000"/>
                <w:spacing w:val="0"/>
                <w:w w:val="100"/>
                <w:kern w:val="0"/>
                <w:sz w:val="22"/>
                <w:szCs w:val="22"/>
              </w:rPr>
              <w:t>.因病情危及生命而采取紧急医疗措施时；</w:t>
            </w:r>
          </w:p>
          <w:p w14:paraId="54D448B6">
            <w:pPr>
              <w:keepNext w:val="0"/>
              <w:keepLines w:val="0"/>
              <w:pageBreakBefore w:val="0"/>
              <w:widowControl w:val="0"/>
              <w:kinsoku/>
              <w:wordWrap/>
              <w:overflowPunct/>
              <w:topLinePunct/>
              <w:autoSpaceDE w:val="0"/>
              <w:autoSpaceDN w:val="0"/>
              <w:bidi w:val="0"/>
              <w:adjustRightInd w:val="0"/>
              <w:snapToGrid w:val="0"/>
              <w:spacing w:line="400" w:lineRule="exact"/>
              <w:ind w:left="0" w:firstLine="440" w:firstLineChars="200"/>
              <w:jc w:val="both"/>
              <w:textAlignment w:val="baseline"/>
              <w:rPr>
                <w:rFonts w:hint="eastAsia" w:ascii="仿宋_GB2312" w:hAnsi="仿宋_GB2312" w:eastAsia="仿宋_GB2312" w:cs="仿宋_GB2312"/>
                <w:snapToGrid w:val="0"/>
                <w:color w:val="000000"/>
                <w:spacing w:val="0"/>
                <w:w w:val="100"/>
                <w:kern w:val="0"/>
                <w:sz w:val="22"/>
                <w:szCs w:val="22"/>
              </w:rPr>
            </w:pPr>
            <w:r>
              <w:rPr>
                <w:rFonts w:hint="eastAsia" w:ascii="Times New Roman" w:hAnsi="Times New Roman" w:eastAsia="仿宋_GB2312" w:cs="仿宋_GB2312"/>
                <w:snapToGrid w:val="0"/>
                <w:color w:val="000000"/>
                <w:spacing w:val="0"/>
                <w:w w:val="100"/>
                <w:kern w:val="0"/>
                <w:sz w:val="22"/>
                <w:szCs w:val="22"/>
              </w:rPr>
              <w:t>2</w:t>
            </w:r>
            <w:r>
              <w:rPr>
                <w:rFonts w:hint="eastAsia" w:ascii="仿宋_GB2312" w:hAnsi="仿宋_GB2312" w:eastAsia="仿宋_GB2312" w:cs="仿宋_GB2312"/>
                <w:snapToGrid w:val="0"/>
                <w:color w:val="000000"/>
                <w:spacing w:val="0"/>
                <w:w w:val="100"/>
                <w:kern w:val="0"/>
                <w:sz w:val="22"/>
                <w:szCs w:val="22"/>
              </w:rPr>
              <w:t>.告知真实信息可能不利于患者的健康或者治疗时；在此情况下将由其监护人行使知情同意权。</w:t>
            </w:r>
          </w:p>
          <w:p w14:paraId="2244A1B2">
            <w:pPr>
              <w:keepNext w:val="0"/>
              <w:keepLines w:val="0"/>
              <w:pageBreakBefore w:val="0"/>
              <w:widowControl w:val="0"/>
              <w:kinsoku/>
              <w:wordWrap/>
              <w:overflowPunct/>
              <w:topLinePunct/>
              <w:autoSpaceDE w:val="0"/>
              <w:autoSpaceDN w:val="0"/>
              <w:bidi w:val="0"/>
              <w:adjustRightInd w:val="0"/>
              <w:snapToGrid w:val="0"/>
              <w:spacing w:line="400" w:lineRule="exact"/>
              <w:ind w:left="0" w:firstLine="440" w:firstLineChars="200"/>
              <w:jc w:val="both"/>
              <w:textAlignment w:val="baseline"/>
              <w:rPr>
                <w:rFonts w:hint="eastAsia" w:ascii="仿宋_GB2312" w:hAnsi="仿宋_GB2312" w:eastAsia="仿宋_GB2312" w:cs="仿宋_GB2312"/>
                <w:snapToGrid w:val="0"/>
                <w:color w:val="000000"/>
                <w:spacing w:val="0"/>
                <w:w w:val="100"/>
                <w:kern w:val="0"/>
                <w:sz w:val="22"/>
                <w:szCs w:val="22"/>
              </w:rPr>
            </w:pPr>
            <w:r>
              <w:rPr>
                <w:rFonts w:hint="eastAsia" w:ascii="Times New Roman" w:hAnsi="Times New Roman" w:eastAsia="仿宋_GB2312" w:cs="仿宋_GB2312"/>
                <w:snapToGrid w:val="0"/>
                <w:color w:val="000000"/>
                <w:spacing w:val="0"/>
                <w:w w:val="100"/>
                <w:kern w:val="0"/>
                <w:sz w:val="22"/>
                <w:szCs w:val="22"/>
              </w:rPr>
              <w:t>3</w:t>
            </w:r>
            <w:r>
              <w:rPr>
                <w:rFonts w:hint="eastAsia" w:ascii="仿宋_GB2312" w:hAnsi="仿宋_GB2312" w:eastAsia="仿宋_GB2312" w:cs="仿宋_GB2312"/>
                <w:snapToGrid w:val="0"/>
                <w:color w:val="000000"/>
                <w:spacing w:val="0"/>
                <w:w w:val="100"/>
                <w:kern w:val="0"/>
                <w:sz w:val="22"/>
                <w:szCs w:val="22"/>
              </w:rPr>
              <w:t>.患者本人或者其监护人自愿放弃知情同意权时。</w:t>
            </w:r>
          </w:p>
        </w:tc>
      </w:tr>
      <w:tr w14:paraId="1C9FF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42" w:hRule="atLeast"/>
          <w:jc w:val="center"/>
        </w:trPr>
        <w:tc>
          <w:tcPr>
            <w:tcW w:w="9363" w:type="dxa"/>
            <w:gridSpan w:val="8"/>
            <w:vAlign w:val="center"/>
          </w:tcPr>
          <w:p w14:paraId="527ECDEA">
            <w:pPr>
              <w:keepNext w:val="0"/>
              <w:keepLines w:val="0"/>
              <w:pageBreakBefore w:val="0"/>
              <w:widowControl w:val="0"/>
              <w:kinsoku/>
              <w:wordWrap/>
              <w:overflowPunct/>
              <w:topLinePunct/>
              <w:autoSpaceDE w:val="0"/>
              <w:autoSpaceDN w:val="0"/>
              <w:bidi w:val="0"/>
              <w:adjustRightInd w:val="0"/>
              <w:snapToGrid w:val="0"/>
              <w:spacing w:line="400" w:lineRule="exact"/>
              <w:jc w:val="both"/>
              <w:textAlignment w:val="baseline"/>
              <w:rPr>
                <w:rFonts w:hint="eastAsia" w:ascii="黑体" w:hAnsi="黑体" w:eastAsia="黑体" w:cs="黑体"/>
                <w:snapToGrid w:val="0"/>
                <w:color w:val="000000"/>
                <w:spacing w:val="0"/>
                <w:w w:val="100"/>
                <w:kern w:val="0"/>
                <w:sz w:val="22"/>
                <w:szCs w:val="22"/>
              </w:rPr>
            </w:pPr>
            <w:r>
              <w:rPr>
                <w:rFonts w:hint="eastAsia" w:ascii="黑体" w:hAnsi="黑体" w:eastAsia="黑体" w:cs="黑体"/>
                <w:snapToGrid w:val="0"/>
                <w:color w:val="000000"/>
                <w:spacing w:val="0"/>
                <w:w w:val="100"/>
                <w:kern w:val="0"/>
                <w:sz w:val="22"/>
                <w:szCs w:val="22"/>
              </w:rPr>
              <w:t>通讯与</w:t>
            </w:r>
            <w:r>
              <w:rPr>
                <w:rFonts w:hint="eastAsia" w:ascii="黑体" w:hAnsi="黑体" w:eastAsia="黑体" w:cs="黑体"/>
                <w:snapToGrid w:val="0"/>
                <w:color w:val="000000"/>
                <w:spacing w:val="0"/>
                <w:w w:val="100"/>
                <w:kern w:val="0"/>
                <w:sz w:val="22"/>
                <w:szCs w:val="22"/>
                <w:lang w:val="en-US" w:eastAsia="zh-CN"/>
              </w:rPr>
              <w:t>探视</w:t>
            </w:r>
          </w:p>
          <w:p w14:paraId="5424CFA6">
            <w:pPr>
              <w:keepNext w:val="0"/>
              <w:keepLines w:val="0"/>
              <w:pageBreakBefore w:val="0"/>
              <w:widowControl w:val="0"/>
              <w:kinsoku/>
              <w:wordWrap/>
              <w:overflowPunct/>
              <w:topLinePunct/>
              <w:autoSpaceDE w:val="0"/>
              <w:autoSpaceDN w:val="0"/>
              <w:bidi w:val="0"/>
              <w:adjustRightInd w:val="0"/>
              <w:snapToGrid w:val="0"/>
              <w:spacing w:line="400" w:lineRule="exact"/>
              <w:ind w:left="0" w:firstLine="440" w:firstLineChars="200"/>
              <w:jc w:val="both"/>
              <w:textAlignment w:val="baseline"/>
              <w:rPr>
                <w:rFonts w:hint="eastAsia" w:ascii="仿宋_GB2312" w:hAnsi="仿宋_GB2312" w:eastAsia="仿宋_GB2312" w:cs="仿宋_GB2312"/>
                <w:snapToGrid w:val="0"/>
                <w:color w:val="000000"/>
                <w:spacing w:val="0"/>
                <w:w w:val="100"/>
                <w:kern w:val="0"/>
                <w:sz w:val="22"/>
                <w:szCs w:val="22"/>
              </w:rPr>
            </w:pPr>
            <w:r>
              <w:rPr>
                <w:rFonts w:hint="eastAsia" w:ascii="仿宋_GB2312" w:hAnsi="仿宋_GB2312" w:eastAsia="仿宋_GB2312" w:cs="仿宋_GB2312"/>
                <w:snapToGrid w:val="0"/>
                <w:color w:val="000000"/>
                <w:spacing w:val="0"/>
                <w:w w:val="100"/>
                <w:kern w:val="0"/>
                <w:sz w:val="22"/>
                <w:szCs w:val="22"/>
              </w:rPr>
              <w:t>患者在住院期间享有通讯和会见探视的权利，但患者处在急性发病期或者其行为妨碍治疗时，医疗机构将根据医疗需要作暂时性的限制。</w:t>
            </w:r>
          </w:p>
        </w:tc>
      </w:tr>
      <w:tr w14:paraId="14C1D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841" w:hRule="atLeast"/>
          <w:jc w:val="center"/>
        </w:trPr>
        <w:tc>
          <w:tcPr>
            <w:tcW w:w="9363" w:type="dxa"/>
            <w:gridSpan w:val="8"/>
            <w:vAlign w:val="center"/>
          </w:tcPr>
          <w:p w14:paraId="3BFC2335">
            <w:pPr>
              <w:keepNext w:val="0"/>
              <w:keepLines w:val="0"/>
              <w:pageBreakBefore w:val="0"/>
              <w:widowControl w:val="0"/>
              <w:kinsoku/>
              <w:wordWrap/>
              <w:overflowPunct/>
              <w:topLinePunct/>
              <w:autoSpaceDE w:val="0"/>
              <w:autoSpaceDN w:val="0"/>
              <w:bidi w:val="0"/>
              <w:adjustRightInd w:val="0"/>
              <w:snapToGrid w:val="0"/>
              <w:spacing w:line="400" w:lineRule="exact"/>
              <w:jc w:val="both"/>
              <w:textAlignment w:val="baseline"/>
              <w:rPr>
                <w:rFonts w:hint="eastAsia" w:ascii="黑体" w:hAnsi="黑体" w:eastAsia="黑体" w:cs="黑体"/>
                <w:snapToGrid w:val="0"/>
                <w:color w:val="000000"/>
                <w:spacing w:val="0"/>
                <w:w w:val="100"/>
                <w:kern w:val="0"/>
                <w:sz w:val="22"/>
                <w:szCs w:val="22"/>
              </w:rPr>
            </w:pPr>
            <w:r>
              <w:rPr>
                <w:rFonts w:hint="eastAsia" w:ascii="黑体" w:hAnsi="黑体" w:eastAsia="黑体" w:cs="黑体"/>
                <w:snapToGrid w:val="0"/>
                <w:color w:val="000000"/>
                <w:spacing w:val="0"/>
                <w:w w:val="100"/>
                <w:kern w:val="0"/>
                <w:sz w:val="22"/>
                <w:szCs w:val="22"/>
              </w:rPr>
              <w:t>约束与隔离</w:t>
            </w:r>
          </w:p>
          <w:p w14:paraId="0AFE7989">
            <w:pPr>
              <w:keepNext w:val="0"/>
              <w:keepLines w:val="0"/>
              <w:pageBreakBefore w:val="0"/>
              <w:widowControl w:val="0"/>
              <w:kinsoku/>
              <w:wordWrap/>
              <w:overflowPunct/>
              <w:topLinePunct/>
              <w:autoSpaceDE w:val="0"/>
              <w:autoSpaceDN w:val="0"/>
              <w:bidi w:val="0"/>
              <w:adjustRightInd w:val="0"/>
              <w:snapToGrid w:val="0"/>
              <w:spacing w:line="400" w:lineRule="exact"/>
              <w:ind w:left="0" w:firstLine="440" w:firstLineChars="200"/>
              <w:jc w:val="both"/>
              <w:textAlignment w:val="baseline"/>
              <w:rPr>
                <w:rFonts w:hint="eastAsia" w:ascii="仿宋_GB2312" w:hAnsi="仿宋_GB2312" w:eastAsia="仿宋_GB2312" w:cs="仿宋_GB2312"/>
                <w:snapToGrid w:val="0"/>
                <w:color w:val="000000"/>
                <w:spacing w:val="0"/>
                <w:w w:val="100"/>
                <w:kern w:val="0"/>
                <w:sz w:val="22"/>
                <w:szCs w:val="22"/>
                <w:lang w:eastAsia="en-US"/>
              </w:rPr>
            </w:pPr>
            <w:r>
              <w:rPr>
                <w:rFonts w:hint="eastAsia" w:ascii="仿宋_GB2312" w:hAnsi="仿宋_GB2312" w:eastAsia="仿宋_GB2312" w:cs="仿宋_GB2312"/>
                <w:snapToGrid w:val="0"/>
                <w:color w:val="000000"/>
                <w:spacing w:val="0"/>
                <w:w w:val="100"/>
                <w:kern w:val="0"/>
                <w:sz w:val="22"/>
                <w:szCs w:val="22"/>
              </w:rPr>
              <w:t>患者在住院期间发生或者将要发生伤害自身、危害他人安全、扰乱医疗秩序的行为时，院方在没有其他可替代措施的情况下，将依据《中华人民共和国精神卫生法》和《严重精神障碍管理治疗工作规范》等相关规定对患者实施约束、隔离等保护性医疗措施。实施保护性医疗措施应当遵循最小必要原则，由医师下达医嘱，规范操作，加强巡视观察，密切监测患者生命体征和肢体血液循环情况，及时评估并尽早解除，防范约束相关并发症，切实保障患者安全。</w:t>
            </w:r>
            <w:r>
              <w:rPr>
                <w:rFonts w:hint="eastAsia" w:ascii="仿宋_GB2312" w:hAnsi="仿宋_GB2312" w:eastAsia="仿宋_GB2312" w:cs="仿宋_GB2312"/>
                <w:snapToGrid w:val="0"/>
                <w:color w:val="000000"/>
                <w:spacing w:val="0"/>
                <w:w w:val="100"/>
                <w:kern w:val="0"/>
                <w:sz w:val="22"/>
                <w:szCs w:val="22"/>
                <w:lang w:eastAsia="en-US"/>
              </w:rPr>
              <w:t>严禁利用约束、隔离等措施惩罚患者。</w:t>
            </w:r>
          </w:p>
        </w:tc>
      </w:tr>
      <w:tr w14:paraId="3A413B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6091" w:hRule="atLeast"/>
          <w:jc w:val="center"/>
        </w:trPr>
        <w:tc>
          <w:tcPr>
            <w:tcW w:w="9363" w:type="dxa"/>
            <w:gridSpan w:val="8"/>
            <w:vAlign w:val="center"/>
          </w:tcPr>
          <w:p w14:paraId="13459485">
            <w:pPr>
              <w:keepNext w:val="0"/>
              <w:keepLines w:val="0"/>
              <w:pageBreakBefore w:val="0"/>
              <w:widowControl w:val="0"/>
              <w:kinsoku/>
              <w:wordWrap/>
              <w:overflowPunct/>
              <w:topLinePunct/>
              <w:autoSpaceDE w:val="0"/>
              <w:autoSpaceDN w:val="0"/>
              <w:bidi w:val="0"/>
              <w:adjustRightInd w:val="0"/>
              <w:snapToGrid w:val="0"/>
              <w:spacing w:line="400" w:lineRule="exact"/>
              <w:jc w:val="both"/>
              <w:textAlignment w:val="baseline"/>
              <w:rPr>
                <w:rFonts w:hint="eastAsia" w:ascii="黑体" w:hAnsi="黑体" w:eastAsia="黑体" w:cs="黑体"/>
                <w:snapToGrid w:val="0"/>
                <w:color w:val="000000"/>
                <w:spacing w:val="0"/>
                <w:w w:val="100"/>
                <w:kern w:val="0"/>
                <w:sz w:val="22"/>
                <w:szCs w:val="22"/>
              </w:rPr>
            </w:pPr>
            <w:r>
              <w:rPr>
                <w:rFonts w:hint="eastAsia" w:ascii="黑体" w:hAnsi="黑体" w:eastAsia="黑体" w:cs="黑体"/>
                <w:snapToGrid w:val="0"/>
                <w:color w:val="000000"/>
                <w:spacing w:val="0"/>
                <w:w w:val="100"/>
                <w:kern w:val="0"/>
                <w:sz w:val="22"/>
                <w:szCs w:val="22"/>
              </w:rPr>
              <w:t>出院</w:t>
            </w:r>
          </w:p>
          <w:p w14:paraId="3AAEED9E">
            <w:pPr>
              <w:keepNext w:val="0"/>
              <w:keepLines w:val="0"/>
              <w:pageBreakBefore w:val="0"/>
              <w:widowControl w:val="0"/>
              <w:kinsoku/>
              <w:wordWrap/>
              <w:overflowPunct/>
              <w:topLinePunct/>
              <w:autoSpaceDE w:val="0"/>
              <w:autoSpaceDN w:val="0"/>
              <w:bidi w:val="0"/>
              <w:adjustRightInd w:val="0"/>
              <w:snapToGrid w:val="0"/>
              <w:spacing w:line="400" w:lineRule="exact"/>
              <w:ind w:left="0" w:firstLine="440" w:firstLineChars="200"/>
              <w:jc w:val="both"/>
              <w:textAlignment w:val="baseline"/>
              <w:rPr>
                <w:rFonts w:hint="eastAsia" w:ascii="仿宋_GB2312" w:hAnsi="仿宋_GB2312" w:eastAsia="仿宋_GB2312" w:cs="仿宋_GB2312"/>
                <w:snapToGrid w:val="0"/>
                <w:color w:val="000000"/>
                <w:spacing w:val="0"/>
                <w:w w:val="100"/>
                <w:kern w:val="0"/>
                <w:sz w:val="22"/>
                <w:szCs w:val="22"/>
              </w:rPr>
            </w:pPr>
            <w:r>
              <w:rPr>
                <w:rFonts w:hint="eastAsia" w:ascii="仿宋_GB2312" w:hAnsi="仿宋_GB2312" w:eastAsia="仿宋_GB2312" w:cs="仿宋_GB2312"/>
                <w:snapToGrid w:val="0"/>
                <w:color w:val="000000"/>
                <w:spacing w:val="0"/>
                <w:w w:val="100"/>
                <w:kern w:val="0"/>
                <w:sz w:val="22"/>
                <w:szCs w:val="22"/>
              </w:rPr>
              <w:t>符合《中华人民共和国精神卫生法》第三十条第二款第一种情况，即“已经发生伤害自身的行为，或者有伤害自身的危险的”而入院的患者，其监护人可以随时提出申请出院，医疗机构应当同意。</w:t>
            </w:r>
          </w:p>
          <w:p w14:paraId="18A26CDF">
            <w:pPr>
              <w:keepNext w:val="0"/>
              <w:keepLines w:val="0"/>
              <w:pageBreakBefore w:val="0"/>
              <w:widowControl w:val="0"/>
              <w:kinsoku/>
              <w:wordWrap/>
              <w:overflowPunct/>
              <w:topLinePunct/>
              <w:autoSpaceDE w:val="0"/>
              <w:autoSpaceDN w:val="0"/>
              <w:bidi w:val="0"/>
              <w:adjustRightInd w:val="0"/>
              <w:snapToGrid w:val="0"/>
              <w:spacing w:line="400" w:lineRule="exact"/>
              <w:ind w:left="0" w:firstLine="440" w:firstLineChars="200"/>
              <w:jc w:val="both"/>
              <w:textAlignment w:val="baseline"/>
              <w:rPr>
                <w:rFonts w:hint="eastAsia" w:ascii="仿宋_GB2312" w:hAnsi="仿宋_GB2312" w:eastAsia="仿宋_GB2312" w:cs="仿宋_GB2312"/>
                <w:snapToGrid w:val="0"/>
                <w:color w:val="000000"/>
                <w:spacing w:val="0"/>
                <w:w w:val="100"/>
                <w:kern w:val="0"/>
                <w:sz w:val="22"/>
                <w:szCs w:val="22"/>
              </w:rPr>
            </w:pPr>
            <w:r>
              <w:rPr>
                <w:rFonts w:hint="eastAsia" w:ascii="仿宋_GB2312" w:hAnsi="仿宋_GB2312" w:eastAsia="仿宋_GB2312" w:cs="仿宋_GB2312"/>
                <w:snapToGrid w:val="0"/>
                <w:color w:val="000000"/>
                <w:spacing w:val="0"/>
                <w:w w:val="100"/>
                <w:kern w:val="0"/>
                <w:sz w:val="22"/>
                <w:szCs w:val="22"/>
              </w:rPr>
              <w:t>如果医生认为患者尚不宜出院，而患者或其监护人仍然要求出院，医生将告知其监护人及患者不宜出院的理由，并在病程记录中记录告知过程，签署自动出院声明，患者或其监护人应当签字确认后出院。</w:t>
            </w:r>
          </w:p>
          <w:p w14:paraId="6E5D5580">
            <w:pPr>
              <w:keepNext w:val="0"/>
              <w:keepLines w:val="0"/>
              <w:pageBreakBefore w:val="0"/>
              <w:widowControl w:val="0"/>
              <w:kinsoku/>
              <w:wordWrap/>
              <w:overflowPunct/>
              <w:topLinePunct/>
              <w:autoSpaceDE w:val="0"/>
              <w:autoSpaceDN w:val="0"/>
              <w:bidi w:val="0"/>
              <w:adjustRightInd w:val="0"/>
              <w:snapToGrid w:val="0"/>
              <w:spacing w:line="400" w:lineRule="exact"/>
              <w:ind w:left="0" w:firstLine="440" w:firstLineChars="200"/>
              <w:jc w:val="both"/>
              <w:textAlignment w:val="baseline"/>
              <w:rPr>
                <w:rFonts w:hint="eastAsia" w:ascii="仿宋_GB2312" w:hAnsi="仿宋_GB2312" w:eastAsia="仿宋_GB2312" w:cs="仿宋_GB2312"/>
                <w:snapToGrid w:val="0"/>
                <w:color w:val="000000"/>
                <w:spacing w:val="0"/>
                <w:w w:val="100"/>
                <w:kern w:val="0"/>
                <w:sz w:val="22"/>
                <w:szCs w:val="22"/>
              </w:rPr>
            </w:pPr>
            <w:r>
              <w:rPr>
                <w:rFonts w:hint="eastAsia" w:ascii="仿宋_GB2312" w:hAnsi="仿宋_GB2312" w:eastAsia="仿宋_GB2312" w:cs="仿宋_GB2312"/>
                <w:snapToGrid w:val="0"/>
                <w:color w:val="000000"/>
                <w:spacing w:val="0"/>
                <w:w w:val="100"/>
                <w:kern w:val="0"/>
                <w:sz w:val="22"/>
                <w:szCs w:val="22"/>
              </w:rPr>
              <w:t>符合《中华人民共和国精神卫生法》第三十条第二款第二种情况，即“已经发生危害他人的行为，或者有危害他人安全的危险的”而入院的患者，患者出院须经我院组织精神科执业医师评估。经评估确认患者可以出院的，我院将及时通知其监护人；监护人应当自接到通知之日，前往我院为患者办理出院手续。如果患者罹患传染病或者本院不具备治疗能力的躯体疾病，医院会及时通知监护人，监护人应尽快办理出院手续，将患者送往其他综合或专科医院治疗。</w:t>
            </w:r>
          </w:p>
          <w:p w14:paraId="7A877909">
            <w:pPr>
              <w:keepNext w:val="0"/>
              <w:keepLines w:val="0"/>
              <w:pageBreakBefore w:val="0"/>
              <w:widowControl w:val="0"/>
              <w:kinsoku/>
              <w:wordWrap/>
              <w:overflowPunct/>
              <w:topLinePunct/>
              <w:autoSpaceDE w:val="0"/>
              <w:autoSpaceDN w:val="0"/>
              <w:bidi w:val="0"/>
              <w:adjustRightInd w:val="0"/>
              <w:snapToGrid w:val="0"/>
              <w:spacing w:line="400" w:lineRule="exact"/>
              <w:ind w:left="0" w:firstLine="440" w:firstLineChars="200"/>
              <w:jc w:val="both"/>
              <w:textAlignment w:val="baseline"/>
              <w:rPr>
                <w:rFonts w:hint="eastAsia" w:ascii="仿宋_GB2312" w:hAnsi="仿宋_GB2312" w:eastAsia="仿宋_GB2312" w:cs="仿宋_GB2312"/>
                <w:snapToGrid w:val="0"/>
                <w:color w:val="000000"/>
                <w:spacing w:val="0"/>
                <w:w w:val="100"/>
                <w:kern w:val="0"/>
                <w:sz w:val="22"/>
                <w:szCs w:val="22"/>
              </w:rPr>
            </w:pPr>
            <w:r>
              <w:rPr>
                <w:rFonts w:hint="eastAsia" w:ascii="仿宋_GB2312" w:hAnsi="仿宋_GB2312" w:eastAsia="仿宋_GB2312" w:cs="仿宋_GB2312"/>
                <w:snapToGrid w:val="0"/>
                <w:color w:val="000000"/>
                <w:spacing w:val="0"/>
                <w:w w:val="100"/>
                <w:kern w:val="0"/>
                <w:sz w:val="22"/>
                <w:szCs w:val="22"/>
              </w:rPr>
              <w:t>如果没有正当理由拒绝出院，医院保留依法对患者和监护人提起诉讼的权利。</w:t>
            </w:r>
          </w:p>
        </w:tc>
      </w:tr>
      <w:tr w14:paraId="1ABAF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41" w:hRule="atLeast"/>
          <w:jc w:val="center"/>
        </w:trPr>
        <w:tc>
          <w:tcPr>
            <w:tcW w:w="9363" w:type="dxa"/>
            <w:gridSpan w:val="8"/>
            <w:vAlign w:val="center"/>
          </w:tcPr>
          <w:p w14:paraId="3F798E1A">
            <w:pPr>
              <w:keepNext w:val="0"/>
              <w:keepLines w:val="0"/>
              <w:pageBreakBefore w:val="0"/>
              <w:widowControl w:val="0"/>
              <w:kinsoku/>
              <w:wordWrap/>
              <w:overflowPunct/>
              <w:topLinePunct/>
              <w:autoSpaceDE w:val="0"/>
              <w:autoSpaceDN w:val="0"/>
              <w:bidi w:val="0"/>
              <w:adjustRightInd w:val="0"/>
              <w:snapToGrid w:val="0"/>
              <w:spacing w:line="400" w:lineRule="exact"/>
              <w:jc w:val="both"/>
              <w:textAlignment w:val="baseline"/>
              <w:rPr>
                <w:rFonts w:hint="eastAsia" w:ascii="黑体" w:hAnsi="黑体" w:eastAsia="黑体" w:cs="黑体"/>
                <w:snapToGrid w:val="0"/>
                <w:color w:val="000000"/>
                <w:spacing w:val="0"/>
                <w:w w:val="100"/>
                <w:kern w:val="0"/>
                <w:sz w:val="22"/>
                <w:szCs w:val="22"/>
              </w:rPr>
            </w:pPr>
            <w:r>
              <w:rPr>
                <w:rFonts w:hint="eastAsia" w:ascii="黑体" w:hAnsi="黑体" w:eastAsia="黑体" w:cs="黑体"/>
                <w:snapToGrid w:val="0"/>
                <w:color w:val="000000"/>
                <w:spacing w:val="0"/>
                <w:w w:val="100"/>
                <w:kern w:val="0"/>
                <w:sz w:val="22"/>
                <w:szCs w:val="22"/>
              </w:rPr>
              <w:t>住院费用</w:t>
            </w:r>
          </w:p>
          <w:p w14:paraId="77006766">
            <w:pPr>
              <w:keepNext w:val="0"/>
              <w:keepLines w:val="0"/>
              <w:pageBreakBefore w:val="0"/>
              <w:widowControl w:val="0"/>
              <w:kinsoku/>
              <w:wordWrap/>
              <w:overflowPunct/>
              <w:topLinePunct/>
              <w:autoSpaceDE w:val="0"/>
              <w:autoSpaceDN w:val="0"/>
              <w:bidi w:val="0"/>
              <w:adjustRightInd w:val="0"/>
              <w:snapToGrid w:val="0"/>
              <w:spacing w:line="400" w:lineRule="exact"/>
              <w:ind w:left="0" w:firstLine="440" w:firstLineChars="200"/>
              <w:jc w:val="both"/>
              <w:textAlignment w:val="baseline"/>
              <w:rPr>
                <w:rFonts w:hint="eastAsia" w:ascii="仿宋_GB2312" w:hAnsi="仿宋_GB2312" w:eastAsia="仿宋_GB2312" w:cs="仿宋_GB2312"/>
                <w:snapToGrid w:val="0"/>
                <w:color w:val="000000"/>
                <w:spacing w:val="0"/>
                <w:w w:val="100"/>
                <w:kern w:val="0"/>
                <w:sz w:val="22"/>
                <w:szCs w:val="22"/>
              </w:rPr>
            </w:pPr>
            <w:r>
              <w:rPr>
                <w:rFonts w:hint="eastAsia" w:ascii="仿宋_GB2312" w:hAnsi="仿宋_GB2312" w:eastAsia="仿宋_GB2312" w:cs="仿宋_GB2312"/>
                <w:snapToGrid w:val="0"/>
                <w:color w:val="000000"/>
                <w:spacing w:val="0"/>
                <w:w w:val="100"/>
                <w:kern w:val="0"/>
                <w:sz w:val="22"/>
                <w:szCs w:val="22"/>
              </w:rPr>
              <w:t>监护人应及时足额缴纳住院医疗费用；如果患者享有社会保障（如医保等），应及时足额缴纳个人负担部分的医疗费用。</w:t>
            </w:r>
          </w:p>
        </w:tc>
      </w:tr>
      <w:tr w14:paraId="09DD7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75" w:hRule="atLeast"/>
          <w:jc w:val="center"/>
        </w:trPr>
        <w:tc>
          <w:tcPr>
            <w:tcW w:w="9363" w:type="dxa"/>
            <w:gridSpan w:val="8"/>
            <w:vAlign w:val="center"/>
          </w:tcPr>
          <w:p w14:paraId="3A8F9B75">
            <w:pPr>
              <w:keepNext w:val="0"/>
              <w:keepLines w:val="0"/>
              <w:pageBreakBefore w:val="0"/>
              <w:widowControl w:val="0"/>
              <w:kinsoku/>
              <w:wordWrap/>
              <w:overflowPunct/>
              <w:topLinePunct/>
              <w:autoSpaceDE w:val="0"/>
              <w:autoSpaceDN w:val="0"/>
              <w:bidi w:val="0"/>
              <w:adjustRightInd w:val="0"/>
              <w:snapToGrid w:val="0"/>
              <w:spacing w:line="400" w:lineRule="exact"/>
              <w:jc w:val="both"/>
              <w:textAlignment w:val="baseline"/>
              <w:rPr>
                <w:rFonts w:hint="eastAsia" w:ascii="黑体" w:hAnsi="黑体" w:eastAsia="黑体" w:cs="黑体"/>
                <w:snapToGrid w:val="0"/>
                <w:color w:val="000000"/>
                <w:spacing w:val="0"/>
                <w:w w:val="100"/>
                <w:kern w:val="0"/>
                <w:sz w:val="22"/>
                <w:szCs w:val="22"/>
              </w:rPr>
            </w:pPr>
            <w:r>
              <w:rPr>
                <w:rFonts w:hint="eastAsia" w:ascii="黑体" w:hAnsi="黑体" w:eastAsia="黑体" w:cs="黑体"/>
                <w:snapToGrid w:val="0"/>
                <w:color w:val="000000"/>
                <w:spacing w:val="0"/>
                <w:w w:val="100"/>
                <w:kern w:val="0"/>
                <w:sz w:val="22"/>
                <w:szCs w:val="22"/>
              </w:rPr>
              <w:t>其他事项</w:t>
            </w:r>
          </w:p>
          <w:p w14:paraId="76CE0363">
            <w:pPr>
              <w:keepNext w:val="0"/>
              <w:keepLines w:val="0"/>
              <w:pageBreakBefore w:val="0"/>
              <w:widowControl w:val="0"/>
              <w:kinsoku/>
              <w:wordWrap/>
              <w:overflowPunct/>
              <w:topLinePunct/>
              <w:autoSpaceDE w:val="0"/>
              <w:autoSpaceDN w:val="0"/>
              <w:bidi w:val="0"/>
              <w:adjustRightInd w:val="0"/>
              <w:snapToGrid w:val="0"/>
              <w:spacing w:line="400" w:lineRule="exact"/>
              <w:ind w:left="0" w:firstLine="440" w:firstLineChars="200"/>
              <w:jc w:val="both"/>
              <w:textAlignment w:val="baseline"/>
              <w:rPr>
                <w:rFonts w:hint="eastAsia" w:ascii="仿宋_GB2312" w:hAnsi="仿宋_GB2312" w:eastAsia="仿宋_GB2312" w:cs="仿宋_GB2312"/>
                <w:snapToGrid w:val="0"/>
                <w:color w:val="000000"/>
                <w:spacing w:val="0"/>
                <w:w w:val="100"/>
                <w:kern w:val="0"/>
                <w:sz w:val="22"/>
                <w:szCs w:val="22"/>
              </w:rPr>
            </w:pPr>
            <w:r>
              <w:rPr>
                <w:rFonts w:hint="eastAsia" w:ascii="仿宋_GB2312" w:hAnsi="仿宋_GB2312" w:eastAsia="仿宋_GB2312" w:cs="仿宋_GB2312"/>
                <w:snapToGrid w:val="0"/>
                <w:color w:val="000000"/>
                <w:spacing w:val="0"/>
                <w:w w:val="100"/>
                <w:kern w:val="0"/>
                <w:sz w:val="22"/>
                <w:szCs w:val="22"/>
              </w:rPr>
              <w:t>您还需要仔细阅读并签署《住院与入院须知》《监护人或者监护人授权的代理声明》《住院安全知情同意书》等。医院按本次送诊精神障碍患者入院情况，确定承担其医疗看护职责的监护人，由其负责住院期间的相关事务，若有变更或委托他人，应及时告知。</w:t>
            </w:r>
          </w:p>
        </w:tc>
      </w:tr>
      <w:tr w14:paraId="59DD3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75" w:hRule="atLeast"/>
          <w:jc w:val="center"/>
        </w:trPr>
        <w:tc>
          <w:tcPr>
            <w:tcW w:w="9363" w:type="dxa"/>
            <w:gridSpan w:val="8"/>
            <w:vAlign w:val="center"/>
          </w:tcPr>
          <w:p w14:paraId="485C1847">
            <w:pPr>
              <w:keepNext w:val="0"/>
              <w:keepLines w:val="0"/>
              <w:pageBreakBefore w:val="0"/>
              <w:widowControl w:val="0"/>
              <w:kinsoku/>
              <w:wordWrap/>
              <w:overflowPunct/>
              <w:topLinePunct/>
              <w:autoSpaceDE w:val="0"/>
              <w:autoSpaceDN w:val="0"/>
              <w:bidi w:val="0"/>
              <w:adjustRightInd w:val="0"/>
              <w:snapToGrid w:val="0"/>
              <w:spacing w:line="400" w:lineRule="exact"/>
              <w:jc w:val="both"/>
              <w:textAlignment w:val="baseline"/>
              <w:rPr>
                <w:rFonts w:hint="eastAsia" w:ascii="黑体" w:hAnsi="黑体" w:eastAsia="黑体" w:cs="黑体"/>
                <w:snapToGrid w:val="0"/>
                <w:color w:val="000000"/>
                <w:spacing w:val="0"/>
                <w:w w:val="100"/>
                <w:kern w:val="0"/>
                <w:sz w:val="22"/>
                <w:szCs w:val="22"/>
              </w:rPr>
            </w:pPr>
            <w:r>
              <w:rPr>
                <w:rFonts w:hint="eastAsia" w:ascii="黑体" w:hAnsi="黑体" w:eastAsia="黑体" w:cs="黑体"/>
                <w:snapToGrid w:val="0"/>
                <w:color w:val="000000"/>
                <w:spacing w:val="0"/>
                <w:w w:val="100"/>
                <w:kern w:val="0"/>
                <w:sz w:val="22"/>
                <w:szCs w:val="22"/>
              </w:rPr>
              <w:t>患方意见</w:t>
            </w:r>
          </w:p>
          <w:p w14:paraId="565E50BB">
            <w:pPr>
              <w:keepNext w:val="0"/>
              <w:keepLines w:val="0"/>
              <w:pageBreakBefore w:val="0"/>
              <w:widowControl w:val="0"/>
              <w:kinsoku/>
              <w:wordWrap/>
              <w:overflowPunct/>
              <w:topLinePunct/>
              <w:autoSpaceDE w:val="0"/>
              <w:autoSpaceDN w:val="0"/>
              <w:bidi w:val="0"/>
              <w:adjustRightInd w:val="0"/>
              <w:snapToGrid w:val="0"/>
              <w:spacing w:line="400" w:lineRule="exact"/>
              <w:ind w:left="0" w:firstLine="440" w:firstLineChars="200"/>
              <w:jc w:val="both"/>
              <w:textAlignment w:val="baseline"/>
              <w:rPr>
                <w:rFonts w:hint="eastAsia" w:ascii="仿宋_GB2312" w:hAnsi="仿宋_GB2312" w:eastAsia="仿宋_GB2312" w:cs="仿宋_GB2312"/>
                <w:snapToGrid w:val="0"/>
                <w:color w:val="000000"/>
                <w:spacing w:val="0"/>
                <w:w w:val="100"/>
                <w:kern w:val="0"/>
                <w:sz w:val="22"/>
                <w:szCs w:val="22"/>
              </w:rPr>
            </w:pPr>
            <w:r>
              <w:rPr>
                <w:rFonts w:hint="eastAsia" w:ascii="仿宋_GB2312" w:hAnsi="仿宋_GB2312" w:eastAsia="仿宋_GB2312" w:cs="仿宋_GB2312"/>
                <w:snapToGrid w:val="0"/>
                <w:color w:val="000000"/>
                <w:spacing w:val="0"/>
                <w:w w:val="100"/>
                <w:kern w:val="0"/>
                <w:sz w:val="22"/>
                <w:szCs w:val="22"/>
              </w:rPr>
              <w:t>本人</w:t>
            </w:r>
            <w:r>
              <w:rPr>
                <w:rFonts w:hint="eastAsia" w:ascii="仿宋_GB2312" w:hAnsi="仿宋_GB2312" w:eastAsia="仿宋_GB2312" w:cs="仿宋_GB2312"/>
                <w:snapToGrid w:val="0"/>
                <w:color w:val="000000"/>
                <w:spacing w:val="0"/>
                <w:w w:val="100"/>
                <w:kern w:val="0"/>
                <w:sz w:val="22"/>
                <w:szCs w:val="22"/>
                <w:u w:val="single"/>
              </w:rPr>
              <w:t xml:space="preserve">  </w:t>
            </w:r>
            <w:r>
              <w:rPr>
                <w:rFonts w:hint="eastAsia" w:ascii="仿宋_GB2312" w:hAnsi="仿宋_GB2312" w:eastAsia="仿宋_GB2312" w:cs="仿宋_GB2312"/>
                <w:snapToGrid w:val="0"/>
                <w:color w:val="000000"/>
                <w:spacing w:val="0"/>
                <w:w w:val="100"/>
                <w:kern w:val="0"/>
                <w:sz w:val="22"/>
                <w:szCs w:val="22"/>
                <w:u w:val="single"/>
                <w:lang w:val="en-US" w:eastAsia="zh-CN"/>
              </w:rPr>
              <w:t xml:space="preserve">    </w:t>
            </w:r>
            <w:r>
              <w:rPr>
                <w:rFonts w:hint="eastAsia" w:ascii="仿宋_GB2312" w:hAnsi="仿宋_GB2312" w:eastAsia="仿宋_GB2312" w:cs="仿宋_GB2312"/>
                <w:snapToGrid w:val="0"/>
                <w:color w:val="000000"/>
                <w:spacing w:val="0"/>
                <w:w w:val="100"/>
                <w:kern w:val="0"/>
                <w:sz w:val="22"/>
                <w:szCs w:val="22"/>
                <w:u w:val="single"/>
              </w:rPr>
              <w:t xml:space="preserve">  </w:t>
            </w:r>
            <w:r>
              <w:rPr>
                <w:rFonts w:hint="eastAsia" w:ascii="仿宋_GB2312" w:hAnsi="仿宋_GB2312" w:eastAsia="仿宋_GB2312" w:cs="仿宋_GB2312"/>
                <w:snapToGrid w:val="0"/>
                <w:color w:val="000000"/>
                <w:spacing w:val="0"/>
                <w:w w:val="100"/>
                <w:kern w:val="0"/>
                <w:sz w:val="22"/>
                <w:szCs w:val="22"/>
              </w:rPr>
              <w:t>是患者</w:t>
            </w:r>
            <w:r>
              <w:rPr>
                <w:rFonts w:hint="eastAsia" w:ascii="仿宋_GB2312" w:hAnsi="仿宋_GB2312" w:eastAsia="仿宋_GB2312" w:cs="仿宋_GB2312"/>
                <w:snapToGrid w:val="0"/>
                <w:color w:val="000000"/>
                <w:spacing w:val="0"/>
                <w:w w:val="100"/>
                <w:kern w:val="0"/>
                <w:sz w:val="22"/>
                <w:szCs w:val="22"/>
                <w:u w:val="single"/>
              </w:rPr>
              <w:t xml:space="preserve">   </w:t>
            </w:r>
            <w:r>
              <w:rPr>
                <w:rFonts w:hint="eastAsia" w:ascii="仿宋_GB2312" w:hAnsi="仿宋_GB2312" w:eastAsia="仿宋_GB2312" w:cs="仿宋_GB2312"/>
                <w:snapToGrid w:val="0"/>
                <w:color w:val="000000"/>
                <w:spacing w:val="0"/>
                <w:w w:val="100"/>
                <w:kern w:val="0"/>
                <w:sz w:val="22"/>
                <w:szCs w:val="22"/>
                <w:u w:val="single"/>
                <w:lang w:val="en-US" w:eastAsia="zh-CN"/>
              </w:rPr>
              <w:t xml:space="preserve">    </w:t>
            </w:r>
            <w:r>
              <w:rPr>
                <w:rFonts w:hint="eastAsia" w:ascii="仿宋_GB2312" w:hAnsi="仿宋_GB2312" w:eastAsia="仿宋_GB2312" w:cs="仿宋_GB2312"/>
                <w:snapToGrid w:val="0"/>
                <w:color w:val="000000"/>
                <w:spacing w:val="0"/>
                <w:w w:val="100"/>
                <w:kern w:val="0"/>
                <w:sz w:val="22"/>
                <w:szCs w:val="22"/>
                <w:u w:val="single"/>
              </w:rPr>
              <w:t xml:space="preserve"> </w:t>
            </w:r>
            <w:r>
              <w:rPr>
                <w:rFonts w:hint="eastAsia" w:ascii="仿宋_GB2312" w:hAnsi="仿宋_GB2312" w:eastAsia="仿宋_GB2312" w:cs="仿宋_GB2312"/>
                <w:snapToGrid w:val="0"/>
                <w:color w:val="000000"/>
                <w:spacing w:val="0"/>
                <w:w w:val="100"/>
                <w:kern w:val="0"/>
                <w:sz w:val="22"/>
                <w:szCs w:val="22"/>
              </w:rPr>
              <w:t>的</w:t>
            </w:r>
            <w:r>
              <w:rPr>
                <w:rFonts w:hint="eastAsia" w:ascii="仿宋_GB2312" w:hAnsi="仿宋_GB2312" w:eastAsia="仿宋_GB2312" w:cs="仿宋_GB2312"/>
                <w:snapToGrid w:val="0"/>
                <w:color w:val="000000"/>
                <w:spacing w:val="0"/>
                <w:w w:val="100"/>
                <w:kern w:val="0"/>
                <w:sz w:val="22"/>
                <w:szCs w:val="22"/>
                <w:u w:val="single"/>
              </w:rPr>
              <w:t xml:space="preserve">    </w:t>
            </w:r>
            <w:r>
              <w:rPr>
                <w:rFonts w:hint="eastAsia" w:ascii="仿宋_GB2312" w:hAnsi="仿宋_GB2312" w:eastAsia="仿宋_GB2312" w:cs="仿宋_GB2312"/>
                <w:snapToGrid w:val="0"/>
                <w:color w:val="000000"/>
                <w:spacing w:val="0"/>
                <w:w w:val="100"/>
                <w:kern w:val="0"/>
                <w:sz w:val="22"/>
                <w:szCs w:val="22"/>
                <w:u w:val="single"/>
                <w:lang w:val="en-US" w:eastAsia="zh-CN"/>
              </w:rPr>
              <w:t xml:space="preserve">  </w:t>
            </w:r>
            <w:r>
              <w:rPr>
                <w:rFonts w:hint="eastAsia" w:ascii="仿宋_GB2312" w:hAnsi="仿宋_GB2312" w:eastAsia="仿宋_GB2312" w:cs="仿宋_GB2312"/>
                <w:snapToGrid w:val="0"/>
                <w:color w:val="000000"/>
                <w:spacing w:val="0"/>
                <w:w w:val="100"/>
                <w:kern w:val="0"/>
                <w:sz w:val="22"/>
                <w:szCs w:val="22"/>
                <w:u w:val="single"/>
              </w:rPr>
              <w:t>（关系），</w:t>
            </w:r>
            <w:r>
              <w:rPr>
                <w:rFonts w:hint="eastAsia" w:ascii="仿宋_GB2312" w:hAnsi="仿宋_GB2312" w:eastAsia="仿宋_GB2312" w:cs="仿宋_GB2312"/>
                <w:snapToGrid w:val="0"/>
                <w:color w:val="000000"/>
                <w:spacing w:val="0"/>
                <w:w w:val="100"/>
                <w:kern w:val="0"/>
                <w:sz w:val="22"/>
                <w:szCs w:val="22"/>
              </w:rPr>
              <w:t>患者经医生检查评估，诊断为</w:t>
            </w:r>
            <w:r>
              <w:rPr>
                <w:rFonts w:hint="eastAsia" w:ascii="仿宋_GB2312" w:hAnsi="仿宋_GB2312" w:eastAsia="仿宋_GB2312" w:cs="仿宋_GB2312"/>
                <w:snapToGrid w:val="0"/>
                <w:color w:val="000000"/>
                <w:spacing w:val="0"/>
                <w:w w:val="100"/>
                <w:kern w:val="0"/>
                <w:sz w:val="22"/>
                <w:szCs w:val="22"/>
                <w:u w:val="single"/>
              </w:rPr>
              <w:t xml:space="preserve"> </w:t>
            </w:r>
            <w:r>
              <w:rPr>
                <w:rFonts w:hint="eastAsia" w:ascii="仿宋_GB2312" w:hAnsi="仿宋_GB2312" w:eastAsia="仿宋_GB2312" w:cs="仿宋_GB2312"/>
                <w:snapToGrid w:val="0"/>
                <w:color w:val="000000"/>
                <w:spacing w:val="0"/>
                <w:w w:val="100"/>
                <w:kern w:val="0"/>
                <w:sz w:val="22"/>
                <w:szCs w:val="22"/>
                <w:u w:val="single"/>
                <w:lang w:val="en-US" w:eastAsia="zh-CN"/>
              </w:rPr>
              <w:t xml:space="preserve">  </w:t>
            </w:r>
            <w:r>
              <w:rPr>
                <w:rFonts w:hint="eastAsia" w:ascii="仿宋_GB2312" w:hAnsi="仿宋_GB2312" w:eastAsia="仿宋_GB2312" w:cs="仿宋_GB2312"/>
                <w:snapToGrid w:val="0"/>
                <w:color w:val="000000"/>
                <w:spacing w:val="0"/>
                <w:w w:val="100"/>
                <w:kern w:val="0"/>
                <w:sz w:val="22"/>
                <w:szCs w:val="22"/>
                <w:u w:val="single"/>
              </w:rPr>
              <w:t xml:space="preserve">  </w:t>
            </w:r>
            <w:r>
              <w:rPr>
                <w:rFonts w:hint="eastAsia" w:ascii="仿宋_GB2312" w:hAnsi="仿宋_GB2312" w:eastAsia="仿宋_GB2312" w:cs="仿宋_GB2312"/>
                <w:snapToGrid w:val="0"/>
                <w:color w:val="000000"/>
                <w:spacing w:val="0"/>
                <w:w w:val="100"/>
                <w:kern w:val="0"/>
                <w:sz w:val="22"/>
                <w:szCs w:val="22"/>
                <w:u w:val="single"/>
                <w:lang w:val="en-US" w:eastAsia="zh-CN"/>
              </w:rPr>
              <w:t xml:space="preserve">  </w:t>
            </w:r>
            <w:r>
              <w:rPr>
                <w:rFonts w:hint="eastAsia" w:ascii="仿宋_GB2312" w:hAnsi="仿宋_GB2312" w:eastAsia="仿宋_GB2312" w:cs="仿宋_GB2312"/>
                <w:snapToGrid w:val="0"/>
                <w:color w:val="000000"/>
                <w:spacing w:val="0"/>
                <w:w w:val="100"/>
                <w:kern w:val="0"/>
                <w:sz w:val="22"/>
                <w:szCs w:val="22"/>
                <w:u w:val="single"/>
              </w:rPr>
              <w:t xml:space="preserve"> </w:t>
            </w:r>
            <w:r>
              <w:rPr>
                <w:rFonts w:hint="eastAsia" w:ascii="仿宋_GB2312" w:hAnsi="仿宋_GB2312" w:eastAsia="仿宋_GB2312" w:cs="仿宋_GB2312"/>
                <w:snapToGrid w:val="0"/>
                <w:color w:val="000000"/>
                <w:spacing w:val="0"/>
                <w:w w:val="100"/>
                <w:kern w:val="0"/>
                <w:sz w:val="22"/>
                <w:szCs w:val="22"/>
              </w:rPr>
              <w:t>。医院工作人员已向我充分告知患者的病情以及患者与监护人在非自愿住院期间的权利。</w:t>
            </w:r>
          </w:p>
        </w:tc>
      </w:tr>
      <w:tr w14:paraId="7B1C8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775" w:hRule="atLeast"/>
          <w:jc w:val="center"/>
        </w:trPr>
        <w:tc>
          <w:tcPr>
            <w:tcW w:w="9363" w:type="dxa"/>
            <w:gridSpan w:val="8"/>
            <w:vAlign w:val="center"/>
          </w:tcPr>
          <w:p w14:paraId="2D0B58F0">
            <w:pPr>
              <w:keepNext w:val="0"/>
              <w:keepLines w:val="0"/>
              <w:pageBreakBefore w:val="0"/>
              <w:widowControl w:val="0"/>
              <w:kinsoku/>
              <w:wordWrap/>
              <w:overflowPunct/>
              <w:topLinePunct/>
              <w:autoSpaceDE w:val="0"/>
              <w:autoSpaceDN w:val="0"/>
              <w:bidi w:val="0"/>
              <w:adjustRightInd w:val="0"/>
              <w:snapToGrid w:val="0"/>
              <w:spacing w:line="400" w:lineRule="exact"/>
              <w:jc w:val="both"/>
              <w:textAlignment w:val="baseline"/>
              <w:rPr>
                <w:rFonts w:hint="eastAsia" w:ascii="黑体" w:hAnsi="黑体" w:eastAsia="黑体" w:cs="黑体"/>
                <w:snapToGrid w:val="0"/>
                <w:color w:val="000000"/>
                <w:spacing w:val="0"/>
                <w:w w:val="100"/>
                <w:kern w:val="0"/>
                <w:sz w:val="22"/>
                <w:szCs w:val="22"/>
              </w:rPr>
            </w:pPr>
            <w:r>
              <w:rPr>
                <w:rFonts w:hint="eastAsia" w:ascii="黑体" w:hAnsi="黑体" w:eastAsia="黑体" w:cs="黑体"/>
                <w:snapToGrid w:val="0"/>
                <w:color w:val="000000"/>
                <w:spacing w:val="0"/>
                <w:w w:val="100"/>
                <w:kern w:val="0"/>
                <w:sz w:val="22"/>
                <w:szCs w:val="22"/>
              </w:rPr>
              <w:t>患方声明：</w:t>
            </w:r>
          </w:p>
          <w:p w14:paraId="3FB5E85E">
            <w:pPr>
              <w:keepNext w:val="0"/>
              <w:keepLines w:val="0"/>
              <w:pageBreakBefore w:val="0"/>
              <w:widowControl w:val="0"/>
              <w:kinsoku/>
              <w:wordWrap/>
              <w:overflowPunct/>
              <w:topLinePunct/>
              <w:autoSpaceDE w:val="0"/>
              <w:autoSpaceDN w:val="0"/>
              <w:bidi w:val="0"/>
              <w:adjustRightInd w:val="0"/>
              <w:snapToGrid w:val="0"/>
              <w:spacing w:line="400" w:lineRule="exact"/>
              <w:ind w:left="0" w:firstLine="440" w:firstLineChars="200"/>
              <w:jc w:val="both"/>
              <w:textAlignment w:val="baseline"/>
              <w:rPr>
                <w:rFonts w:hint="eastAsia" w:ascii="仿宋_GB2312" w:hAnsi="仿宋_GB2312" w:eastAsia="仿宋_GB2312" w:cs="仿宋_GB2312"/>
                <w:snapToGrid w:val="0"/>
                <w:color w:val="000000"/>
                <w:spacing w:val="0"/>
                <w:w w:val="100"/>
                <w:kern w:val="0"/>
                <w:sz w:val="22"/>
                <w:szCs w:val="22"/>
              </w:rPr>
            </w:pPr>
            <w:r>
              <w:rPr>
                <w:rFonts w:hint="eastAsia" w:ascii="仿宋_GB2312" w:hAnsi="仿宋_GB2312" w:eastAsia="仿宋_GB2312" w:cs="仿宋_GB2312"/>
                <w:snapToGrid w:val="0"/>
                <w:color w:val="000000"/>
                <w:spacing w:val="0"/>
                <w:w w:val="100"/>
                <w:kern w:val="0"/>
                <w:sz w:val="22"/>
                <w:szCs w:val="22"/>
              </w:rPr>
              <w:t>护送人或者近亲属确已征得患者监护人同意，让患者在本院接受非自愿住院治疗（公安机关采取措施送住院除外），并确定患者有下列情形之一：</w:t>
            </w:r>
          </w:p>
          <w:p w14:paraId="781E0708">
            <w:pPr>
              <w:keepNext w:val="0"/>
              <w:keepLines w:val="0"/>
              <w:pageBreakBefore w:val="0"/>
              <w:widowControl w:val="0"/>
              <w:kinsoku/>
              <w:wordWrap/>
              <w:overflowPunct/>
              <w:topLinePunct/>
              <w:autoSpaceDE w:val="0"/>
              <w:autoSpaceDN w:val="0"/>
              <w:bidi w:val="0"/>
              <w:adjustRightInd w:val="0"/>
              <w:snapToGrid w:val="0"/>
              <w:spacing w:line="400" w:lineRule="exact"/>
              <w:ind w:left="0" w:firstLine="440" w:firstLineChars="200"/>
              <w:jc w:val="both"/>
              <w:textAlignment w:val="baseline"/>
              <w:rPr>
                <w:rFonts w:hint="eastAsia" w:ascii="仿宋_GB2312" w:hAnsi="仿宋_GB2312" w:eastAsia="仿宋_GB2312" w:cs="仿宋_GB2312"/>
                <w:snapToGrid w:val="0"/>
                <w:color w:val="000000"/>
                <w:spacing w:val="0"/>
                <w:w w:val="100"/>
                <w:kern w:val="0"/>
                <w:sz w:val="22"/>
                <w:szCs w:val="22"/>
              </w:rPr>
            </w:pPr>
            <w:r>
              <w:rPr>
                <w:rFonts w:hint="eastAsia" w:ascii="仿宋_GB2312" w:hAnsi="仿宋_GB2312" w:eastAsia="仿宋_GB2312" w:cs="仿宋_GB2312"/>
                <w:snapToGrid w:val="0"/>
                <w:color w:val="000000"/>
                <w:spacing w:val="0"/>
                <w:w w:val="100"/>
                <w:kern w:val="0"/>
                <w:sz w:val="22"/>
                <w:szCs w:val="22"/>
              </w:rPr>
              <w:t>已经发生伤害自身的行为，或者有伤害自身危险的；</w:t>
            </w:r>
          </w:p>
          <w:p w14:paraId="3AF3CE16">
            <w:pPr>
              <w:keepNext w:val="0"/>
              <w:keepLines w:val="0"/>
              <w:pageBreakBefore w:val="0"/>
              <w:widowControl w:val="0"/>
              <w:kinsoku/>
              <w:wordWrap/>
              <w:overflowPunct/>
              <w:topLinePunct/>
              <w:autoSpaceDE w:val="0"/>
              <w:autoSpaceDN w:val="0"/>
              <w:bidi w:val="0"/>
              <w:adjustRightInd w:val="0"/>
              <w:snapToGrid w:val="0"/>
              <w:spacing w:line="400" w:lineRule="exact"/>
              <w:ind w:left="0" w:firstLine="440" w:firstLineChars="200"/>
              <w:jc w:val="both"/>
              <w:textAlignment w:val="baseline"/>
              <w:rPr>
                <w:rFonts w:hint="eastAsia" w:ascii="仿宋_GB2312" w:hAnsi="仿宋_GB2312" w:eastAsia="仿宋_GB2312" w:cs="仿宋_GB2312"/>
                <w:snapToGrid w:val="0"/>
                <w:color w:val="000000"/>
                <w:spacing w:val="0"/>
                <w:w w:val="100"/>
                <w:kern w:val="0"/>
                <w:sz w:val="22"/>
                <w:szCs w:val="22"/>
              </w:rPr>
            </w:pPr>
            <w:r>
              <w:rPr>
                <w:rFonts w:hint="eastAsia" w:ascii="仿宋_GB2312" w:hAnsi="仿宋_GB2312" w:eastAsia="仿宋_GB2312" w:cs="仿宋_GB2312"/>
                <w:snapToGrid w:val="0"/>
                <w:color w:val="000000"/>
                <w:spacing w:val="0"/>
                <w:w w:val="100"/>
                <w:kern w:val="0"/>
                <w:sz w:val="22"/>
                <w:szCs w:val="22"/>
              </w:rPr>
              <w:t>已经发生危害他人安全的行为，或者有危害他人安全危险的。</w:t>
            </w:r>
          </w:p>
          <w:p w14:paraId="65CF4AD2">
            <w:pPr>
              <w:keepNext w:val="0"/>
              <w:keepLines w:val="0"/>
              <w:pageBreakBefore w:val="0"/>
              <w:widowControl w:val="0"/>
              <w:kinsoku/>
              <w:wordWrap/>
              <w:overflowPunct/>
              <w:topLinePunct/>
              <w:autoSpaceDE w:val="0"/>
              <w:autoSpaceDN w:val="0"/>
              <w:bidi w:val="0"/>
              <w:adjustRightInd w:val="0"/>
              <w:snapToGrid w:val="0"/>
              <w:spacing w:line="400" w:lineRule="exact"/>
              <w:ind w:left="0" w:firstLine="440" w:firstLineChars="200"/>
              <w:jc w:val="both"/>
              <w:textAlignment w:val="baseline"/>
              <w:rPr>
                <w:rFonts w:hint="eastAsia" w:ascii="仿宋_GB2312" w:hAnsi="仿宋_GB2312" w:eastAsia="仿宋_GB2312" w:cs="仿宋_GB2312"/>
                <w:snapToGrid w:val="0"/>
                <w:color w:val="000000"/>
                <w:spacing w:val="0"/>
                <w:w w:val="100"/>
                <w:kern w:val="0"/>
                <w:sz w:val="22"/>
                <w:szCs w:val="22"/>
              </w:rPr>
            </w:pPr>
            <w:r>
              <w:rPr>
                <w:rFonts w:hint="eastAsia" w:ascii="仿宋_GB2312" w:hAnsi="仿宋_GB2312" w:eastAsia="仿宋_GB2312" w:cs="仿宋_GB2312"/>
                <w:snapToGrid w:val="0"/>
                <w:color w:val="000000"/>
                <w:spacing w:val="0"/>
                <w:w w:val="100"/>
                <w:kern w:val="0"/>
                <w:sz w:val="22"/>
                <w:szCs w:val="22"/>
              </w:rPr>
              <w:t>我已知晓知情同意书的全部内容，并愿意承担上述风险和责任。</w:t>
            </w:r>
          </w:p>
          <w:p w14:paraId="7233BECE">
            <w:pPr>
              <w:keepNext w:val="0"/>
              <w:keepLines w:val="0"/>
              <w:pageBreakBefore w:val="0"/>
              <w:widowControl w:val="0"/>
              <w:kinsoku/>
              <w:wordWrap/>
              <w:overflowPunct/>
              <w:topLinePunct/>
              <w:autoSpaceDE w:val="0"/>
              <w:autoSpaceDN w:val="0"/>
              <w:bidi w:val="0"/>
              <w:adjustRightInd w:val="0"/>
              <w:snapToGrid w:val="0"/>
              <w:spacing w:line="400" w:lineRule="exact"/>
              <w:ind w:left="0" w:firstLine="440" w:firstLineChars="200"/>
              <w:jc w:val="both"/>
              <w:textAlignment w:val="baseline"/>
              <w:rPr>
                <w:rFonts w:hint="eastAsia" w:ascii="仿宋_GB2312" w:hAnsi="仿宋_GB2312" w:eastAsia="仿宋_GB2312" w:cs="仿宋_GB2312"/>
                <w:snapToGrid w:val="0"/>
                <w:color w:val="000000"/>
                <w:spacing w:val="0"/>
                <w:w w:val="100"/>
                <w:kern w:val="0"/>
                <w:sz w:val="22"/>
                <w:szCs w:val="22"/>
              </w:rPr>
            </w:pPr>
          </w:p>
          <w:p w14:paraId="64943C64">
            <w:pPr>
              <w:keepNext w:val="0"/>
              <w:keepLines w:val="0"/>
              <w:pageBreakBefore w:val="0"/>
              <w:widowControl w:val="0"/>
              <w:kinsoku/>
              <w:wordWrap/>
              <w:overflowPunct/>
              <w:topLinePunct/>
              <w:autoSpaceDE w:val="0"/>
              <w:autoSpaceDN w:val="0"/>
              <w:bidi w:val="0"/>
              <w:adjustRightInd w:val="0"/>
              <w:snapToGrid w:val="0"/>
              <w:spacing w:line="400" w:lineRule="exact"/>
              <w:ind w:left="0" w:firstLine="440" w:firstLineChars="200"/>
              <w:jc w:val="both"/>
              <w:textAlignment w:val="baseline"/>
              <w:rPr>
                <w:rFonts w:hint="eastAsia" w:ascii="仿宋_GB2312" w:hAnsi="仿宋_GB2312" w:eastAsia="仿宋_GB2312" w:cs="仿宋_GB2312"/>
                <w:snapToGrid w:val="0"/>
                <w:color w:val="000000"/>
                <w:spacing w:val="0"/>
                <w:w w:val="100"/>
                <w:kern w:val="0"/>
                <w:sz w:val="22"/>
                <w:szCs w:val="22"/>
              </w:rPr>
            </w:pPr>
            <w:r>
              <w:rPr>
                <w:rFonts w:hint="eastAsia" w:ascii="仿宋_GB2312" w:hAnsi="仿宋_GB2312" w:eastAsia="仿宋_GB2312" w:cs="仿宋_GB2312"/>
                <w:snapToGrid w:val="0"/>
                <w:color w:val="000000"/>
                <w:spacing w:val="0"/>
                <w:w w:val="100"/>
                <w:kern w:val="0"/>
                <w:sz w:val="22"/>
                <w:szCs w:val="22"/>
              </w:rPr>
              <w:t>监护人签名：</w:t>
            </w:r>
            <w:r>
              <w:rPr>
                <w:rFonts w:hint="eastAsia" w:ascii="仿宋_GB2312" w:hAnsi="仿宋_GB2312" w:eastAsia="仿宋_GB2312" w:cs="仿宋_GB2312"/>
                <w:snapToGrid w:val="0"/>
                <w:color w:val="000000"/>
                <w:spacing w:val="0"/>
                <w:w w:val="100"/>
                <w:kern w:val="0"/>
                <w:sz w:val="22"/>
                <w:szCs w:val="22"/>
                <w:u w:val="single"/>
              </w:rPr>
              <w:t xml:space="preserve">   </w:t>
            </w:r>
            <w:r>
              <w:rPr>
                <w:rFonts w:hint="eastAsia" w:ascii="仿宋_GB2312" w:hAnsi="仿宋_GB2312" w:eastAsia="仿宋_GB2312" w:cs="仿宋_GB2312"/>
                <w:snapToGrid w:val="0"/>
                <w:color w:val="000000"/>
                <w:spacing w:val="0"/>
                <w:w w:val="100"/>
                <w:kern w:val="0"/>
                <w:sz w:val="22"/>
                <w:szCs w:val="22"/>
                <w:u w:val="single"/>
                <w:lang w:val="en-US" w:eastAsia="zh-CN"/>
              </w:rPr>
              <w:t xml:space="preserve">      </w:t>
            </w:r>
            <w:r>
              <w:rPr>
                <w:rFonts w:hint="eastAsia" w:ascii="仿宋_GB2312" w:hAnsi="仿宋_GB2312" w:eastAsia="仿宋_GB2312" w:cs="仿宋_GB2312"/>
                <w:snapToGrid w:val="0"/>
                <w:color w:val="000000"/>
                <w:spacing w:val="0"/>
                <w:w w:val="100"/>
                <w:kern w:val="0"/>
                <w:sz w:val="22"/>
                <w:szCs w:val="22"/>
                <w:u w:val="single"/>
              </w:rPr>
              <w:t xml:space="preserve"> </w:t>
            </w:r>
            <w:r>
              <w:rPr>
                <w:rFonts w:hint="eastAsia" w:ascii="仿宋_GB2312" w:hAnsi="仿宋_GB2312" w:eastAsia="仿宋_GB2312" w:cs="仿宋_GB2312"/>
                <w:snapToGrid w:val="0"/>
                <w:color w:val="000000"/>
                <w:spacing w:val="0"/>
                <w:w w:val="100"/>
                <w:kern w:val="0"/>
                <w:sz w:val="22"/>
                <w:szCs w:val="22"/>
              </w:rPr>
              <w:t>与患者的关系：</w:t>
            </w:r>
            <w:r>
              <w:rPr>
                <w:rFonts w:hint="eastAsia" w:ascii="仿宋_GB2312" w:hAnsi="仿宋_GB2312" w:eastAsia="仿宋_GB2312" w:cs="仿宋_GB2312"/>
                <w:snapToGrid w:val="0"/>
                <w:color w:val="000000"/>
                <w:spacing w:val="0"/>
                <w:w w:val="100"/>
                <w:kern w:val="0"/>
                <w:sz w:val="22"/>
                <w:szCs w:val="22"/>
                <w:u w:val="single"/>
              </w:rPr>
              <w:t xml:space="preserve">    </w:t>
            </w:r>
            <w:r>
              <w:rPr>
                <w:rFonts w:hint="eastAsia" w:ascii="仿宋_GB2312" w:hAnsi="仿宋_GB2312" w:eastAsia="仿宋_GB2312" w:cs="仿宋_GB2312"/>
                <w:snapToGrid w:val="0"/>
                <w:color w:val="000000"/>
                <w:spacing w:val="0"/>
                <w:w w:val="100"/>
                <w:kern w:val="0"/>
                <w:sz w:val="22"/>
                <w:szCs w:val="22"/>
              </w:rPr>
              <w:t>日期：</w:t>
            </w:r>
            <w:r>
              <w:rPr>
                <w:rFonts w:hint="eastAsia" w:ascii="仿宋_GB2312" w:hAnsi="仿宋_GB2312" w:eastAsia="仿宋_GB2312" w:cs="仿宋_GB2312"/>
                <w:snapToGrid w:val="0"/>
                <w:color w:val="000000"/>
                <w:spacing w:val="0"/>
                <w:w w:val="100"/>
                <w:kern w:val="0"/>
                <w:sz w:val="22"/>
                <w:szCs w:val="22"/>
                <w:u w:val="single"/>
              </w:rPr>
              <w:t xml:space="preserve">    </w:t>
            </w:r>
            <w:r>
              <w:rPr>
                <w:rFonts w:hint="eastAsia" w:ascii="仿宋_GB2312" w:hAnsi="仿宋_GB2312" w:eastAsia="仿宋_GB2312" w:cs="仿宋_GB2312"/>
                <w:snapToGrid w:val="0"/>
                <w:color w:val="000000"/>
                <w:spacing w:val="0"/>
                <w:w w:val="100"/>
                <w:kern w:val="0"/>
                <w:sz w:val="22"/>
                <w:szCs w:val="22"/>
              </w:rPr>
              <w:t>年</w:t>
            </w:r>
            <w:r>
              <w:rPr>
                <w:rFonts w:hint="eastAsia" w:ascii="仿宋_GB2312" w:hAnsi="仿宋_GB2312" w:eastAsia="仿宋_GB2312" w:cs="仿宋_GB2312"/>
                <w:snapToGrid w:val="0"/>
                <w:color w:val="000000"/>
                <w:spacing w:val="0"/>
                <w:w w:val="100"/>
                <w:kern w:val="0"/>
                <w:sz w:val="22"/>
                <w:szCs w:val="22"/>
                <w:u w:val="single"/>
              </w:rPr>
              <w:t xml:space="preserve">    </w:t>
            </w:r>
            <w:r>
              <w:rPr>
                <w:rFonts w:hint="eastAsia" w:ascii="仿宋_GB2312" w:hAnsi="仿宋_GB2312" w:eastAsia="仿宋_GB2312" w:cs="仿宋_GB2312"/>
                <w:snapToGrid w:val="0"/>
                <w:color w:val="000000"/>
                <w:spacing w:val="0"/>
                <w:w w:val="100"/>
                <w:kern w:val="0"/>
                <w:sz w:val="22"/>
                <w:szCs w:val="22"/>
              </w:rPr>
              <w:t>月</w:t>
            </w:r>
            <w:r>
              <w:rPr>
                <w:rFonts w:hint="eastAsia" w:ascii="仿宋_GB2312" w:hAnsi="仿宋_GB2312" w:eastAsia="仿宋_GB2312" w:cs="仿宋_GB2312"/>
                <w:snapToGrid w:val="0"/>
                <w:color w:val="000000"/>
                <w:spacing w:val="0"/>
                <w:w w:val="100"/>
                <w:kern w:val="0"/>
                <w:sz w:val="22"/>
                <w:szCs w:val="22"/>
                <w:u w:val="single"/>
              </w:rPr>
              <w:t xml:space="preserve">    </w:t>
            </w:r>
            <w:r>
              <w:rPr>
                <w:rFonts w:hint="eastAsia" w:ascii="仿宋_GB2312" w:hAnsi="仿宋_GB2312" w:eastAsia="仿宋_GB2312" w:cs="仿宋_GB2312"/>
                <w:snapToGrid w:val="0"/>
                <w:color w:val="000000"/>
                <w:spacing w:val="0"/>
                <w:w w:val="100"/>
                <w:kern w:val="0"/>
                <w:sz w:val="22"/>
                <w:szCs w:val="22"/>
              </w:rPr>
              <w:t>日</w:t>
            </w:r>
          </w:p>
          <w:p w14:paraId="26DA79AB">
            <w:pPr>
              <w:keepNext w:val="0"/>
              <w:keepLines w:val="0"/>
              <w:pageBreakBefore w:val="0"/>
              <w:widowControl w:val="0"/>
              <w:kinsoku/>
              <w:wordWrap/>
              <w:overflowPunct/>
              <w:topLinePunct/>
              <w:autoSpaceDE w:val="0"/>
              <w:autoSpaceDN w:val="0"/>
              <w:bidi w:val="0"/>
              <w:adjustRightInd w:val="0"/>
              <w:snapToGrid w:val="0"/>
              <w:spacing w:line="400" w:lineRule="exact"/>
              <w:ind w:left="0" w:firstLine="440" w:firstLineChars="200"/>
              <w:jc w:val="both"/>
              <w:textAlignment w:val="baseline"/>
              <w:rPr>
                <w:rFonts w:hint="eastAsia" w:ascii="仿宋_GB2312" w:hAnsi="仿宋_GB2312" w:eastAsia="仿宋_GB2312" w:cs="仿宋_GB2312"/>
                <w:snapToGrid w:val="0"/>
                <w:color w:val="000000"/>
                <w:spacing w:val="0"/>
                <w:w w:val="100"/>
                <w:kern w:val="0"/>
                <w:sz w:val="22"/>
                <w:szCs w:val="22"/>
              </w:rPr>
            </w:pPr>
            <w:r>
              <w:rPr>
                <w:rFonts w:hint="eastAsia" w:ascii="仿宋_GB2312" w:hAnsi="仿宋_GB2312" w:eastAsia="仿宋_GB2312" w:cs="仿宋_GB2312"/>
                <w:snapToGrid w:val="0"/>
                <w:color w:val="000000"/>
                <w:spacing w:val="0"/>
                <w:w w:val="100"/>
                <w:kern w:val="0"/>
                <w:sz w:val="22"/>
                <w:szCs w:val="22"/>
              </w:rPr>
              <w:t>监护人授权的代理人签名：</w:t>
            </w:r>
            <w:r>
              <w:rPr>
                <w:rFonts w:hint="eastAsia" w:ascii="仿宋_GB2312" w:hAnsi="仿宋_GB2312" w:eastAsia="仿宋_GB2312" w:cs="仿宋_GB2312"/>
                <w:snapToGrid w:val="0"/>
                <w:color w:val="000000"/>
                <w:spacing w:val="0"/>
                <w:w w:val="100"/>
                <w:kern w:val="0"/>
                <w:sz w:val="22"/>
                <w:szCs w:val="22"/>
                <w:u w:val="single"/>
              </w:rPr>
              <w:t xml:space="preserve">  </w:t>
            </w:r>
            <w:r>
              <w:rPr>
                <w:rFonts w:hint="eastAsia" w:ascii="仿宋_GB2312" w:hAnsi="仿宋_GB2312" w:eastAsia="仿宋_GB2312" w:cs="仿宋_GB2312"/>
                <w:snapToGrid w:val="0"/>
                <w:color w:val="000000"/>
                <w:spacing w:val="0"/>
                <w:w w:val="100"/>
                <w:kern w:val="0"/>
                <w:sz w:val="22"/>
                <w:szCs w:val="22"/>
                <w:u w:val="single"/>
                <w:lang w:val="en-US" w:eastAsia="zh-CN"/>
              </w:rPr>
              <w:t xml:space="preserve">      </w:t>
            </w:r>
            <w:r>
              <w:rPr>
                <w:rFonts w:hint="eastAsia" w:ascii="仿宋_GB2312" w:hAnsi="仿宋_GB2312" w:eastAsia="仿宋_GB2312" w:cs="仿宋_GB2312"/>
                <w:snapToGrid w:val="0"/>
                <w:color w:val="000000"/>
                <w:spacing w:val="0"/>
                <w:w w:val="100"/>
                <w:kern w:val="0"/>
                <w:sz w:val="22"/>
                <w:szCs w:val="22"/>
                <w:u w:val="single"/>
              </w:rPr>
              <w:t xml:space="preserve">  </w:t>
            </w:r>
            <w:r>
              <w:rPr>
                <w:rFonts w:hint="eastAsia" w:ascii="仿宋_GB2312" w:hAnsi="仿宋_GB2312" w:eastAsia="仿宋_GB2312" w:cs="仿宋_GB2312"/>
                <w:snapToGrid w:val="0"/>
                <w:color w:val="000000"/>
                <w:spacing w:val="0"/>
                <w:w w:val="100"/>
                <w:kern w:val="0"/>
                <w:sz w:val="22"/>
                <w:szCs w:val="22"/>
              </w:rPr>
              <w:t>与患者的关系：</w:t>
            </w:r>
            <w:r>
              <w:rPr>
                <w:rFonts w:hint="eastAsia" w:ascii="仿宋_GB2312" w:hAnsi="仿宋_GB2312" w:eastAsia="仿宋_GB2312" w:cs="仿宋_GB2312"/>
                <w:snapToGrid w:val="0"/>
                <w:color w:val="000000"/>
                <w:spacing w:val="0"/>
                <w:w w:val="100"/>
                <w:kern w:val="0"/>
                <w:sz w:val="22"/>
                <w:szCs w:val="22"/>
                <w:u w:val="single"/>
              </w:rPr>
              <w:t xml:space="preserve">    </w:t>
            </w:r>
            <w:r>
              <w:rPr>
                <w:rFonts w:hint="eastAsia" w:ascii="仿宋_GB2312" w:hAnsi="仿宋_GB2312" w:eastAsia="仿宋_GB2312" w:cs="仿宋_GB2312"/>
                <w:snapToGrid w:val="0"/>
                <w:color w:val="000000"/>
                <w:spacing w:val="0"/>
                <w:w w:val="100"/>
                <w:kern w:val="0"/>
                <w:sz w:val="22"/>
                <w:szCs w:val="22"/>
              </w:rPr>
              <w:t>日期：</w:t>
            </w:r>
            <w:r>
              <w:rPr>
                <w:rFonts w:hint="eastAsia" w:ascii="仿宋_GB2312" w:hAnsi="仿宋_GB2312" w:eastAsia="仿宋_GB2312" w:cs="仿宋_GB2312"/>
                <w:snapToGrid w:val="0"/>
                <w:color w:val="000000"/>
                <w:spacing w:val="0"/>
                <w:w w:val="100"/>
                <w:kern w:val="0"/>
                <w:sz w:val="22"/>
                <w:szCs w:val="22"/>
                <w:u w:val="single"/>
              </w:rPr>
              <w:t xml:space="preserve">    </w:t>
            </w:r>
            <w:r>
              <w:rPr>
                <w:rFonts w:hint="eastAsia" w:ascii="仿宋_GB2312" w:hAnsi="仿宋_GB2312" w:eastAsia="仿宋_GB2312" w:cs="仿宋_GB2312"/>
                <w:snapToGrid w:val="0"/>
                <w:color w:val="000000"/>
                <w:spacing w:val="0"/>
                <w:w w:val="100"/>
                <w:kern w:val="0"/>
                <w:sz w:val="22"/>
                <w:szCs w:val="22"/>
              </w:rPr>
              <w:t>年</w:t>
            </w:r>
            <w:r>
              <w:rPr>
                <w:rFonts w:hint="eastAsia" w:ascii="仿宋_GB2312" w:hAnsi="仿宋_GB2312" w:eastAsia="仿宋_GB2312" w:cs="仿宋_GB2312"/>
                <w:snapToGrid w:val="0"/>
                <w:color w:val="000000"/>
                <w:spacing w:val="0"/>
                <w:w w:val="100"/>
                <w:kern w:val="0"/>
                <w:sz w:val="22"/>
                <w:szCs w:val="22"/>
                <w:u w:val="single"/>
              </w:rPr>
              <w:t xml:space="preserve">    </w:t>
            </w:r>
            <w:r>
              <w:rPr>
                <w:rFonts w:hint="eastAsia" w:ascii="仿宋_GB2312" w:hAnsi="仿宋_GB2312" w:eastAsia="仿宋_GB2312" w:cs="仿宋_GB2312"/>
                <w:snapToGrid w:val="0"/>
                <w:color w:val="000000"/>
                <w:spacing w:val="0"/>
                <w:w w:val="100"/>
                <w:kern w:val="0"/>
                <w:sz w:val="22"/>
                <w:szCs w:val="22"/>
              </w:rPr>
              <w:t>月</w:t>
            </w:r>
            <w:r>
              <w:rPr>
                <w:rFonts w:hint="eastAsia" w:ascii="仿宋_GB2312" w:hAnsi="仿宋_GB2312" w:eastAsia="仿宋_GB2312" w:cs="仿宋_GB2312"/>
                <w:snapToGrid w:val="0"/>
                <w:color w:val="000000"/>
                <w:spacing w:val="0"/>
                <w:w w:val="100"/>
                <w:kern w:val="0"/>
                <w:sz w:val="22"/>
                <w:szCs w:val="22"/>
                <w:u w:val="single"/>
              </w:rPr>
              <w:t xml:space="preserve">    </w:t>
            </w:r>
            <w:r>
              <w:rPr>
                <w:rFonts w:hint="eastAsia" w:ascii="仿宋_GB2312" w:hAnsi="仿宋_GB2312" w:eastAsia="仿宋_GB2312" w:cs="仿宋_GB2312"/>
                <w:snapToGrid w:val="0"/>
                <w:color w:val="000000"/>
                <w:spacing w:val="0"/>
                <w:w w:val="100"/>
                <w:kern w:val="0"/>
                <w:sz w:val="22"/>
                <w:szCs w:val="22"/>
              </w:rPr>
              <w:t>日</w:t>
            </w:r>
          </w:p>
        </w:tc>
      </w:tr>
      <w:tr w14:paraId="65621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03" w:hRule="atLeast"/>
          <w:jc w:val="center"/>
        </w:trPr>
        <w:tc>
          <w:tcPr>
            <w:tcW w:w="9363" w:type="dxa"/>
            <w:gridSpan w:val="8"/>
            <w:vAlign w:val="center"/>
          </w:tcPr>
          <w:p w14:paraId="70D48B16">
            <w:pPr>
              <w:keepNext w:val="0"/>
              <w:keepLines w:val="0"/>
              <w:pageBreakBefore w:val="0"/>
              <w:widowControl w:val="0"/>
              <w:kinsoku/>
              <w:wordWrap/>
              <w:overflowPunct/>
              <w:topLinePunct/>
              <w:autoSpaceDE w:val="0"/>
              <w:autoSpaceDN w:val="0"/>
              <w:bidi w:val="0"/>
              <w:adjustRightInd w:val="0"/>
              <w:snapToGrid w:val="0"/>
              <w:spacing w:line="400" w:lineRule="exact"/>
              <w:jc w:val="both"/>
              <w:textAlignment w:val="baseline"/>
              <w:rPr>
                <w:rFonts w:hint="eastAsia" w:ascii="黑体" w:hAnsi="黑体" w:eastAsia="黑体" w:cs="黑体"/>
                <w:snapToGrid w:val="0"/>
                <w:color w:val="000000"/>
                <w:spacing w:val="0"/>
                <w:w w:val="100"/>
                <w:kern w:val="0"/>
                <w:sz w:val="22"/>
                <w:szCs w:val="22"/>
              </w:rPr>
            </w:pPr>
            <w:r>
              <w:rPr>
                <w:rFonts w:hint="eastAsia" w:ascii="黑体" w:hAnsi="黑体" w:eastAsia="黑体" w:cs="黑体"/>
                <w:snapToGrid w:val="0"/>
                <w:color w:val="000000"/>
                <w:spacing w:val="0"/>
                <w:w w:val="100"/>
                <w:kern w:val="0"/>
                <w:sz w:val="22"/>
                <w:szCs w:val="22"/>
              </w:rPr>
              <w:t>医护人员陈述：</w:t>
            </w:r>
          </w:p>
          <w:p w14:paraId="61F1BA31">
            <w:pPr>
              <w:keepNext w:val="0"/>
              <w:keepLines w:val="0"/>
              <w:pageBreakBefore w:val="0"/>
              <w:widowControl w:val="0"/>
              <w:kinsoku/>
              <w:wordWrap/>
              <w:overflowPunct/>
              <w:topLinePunct/>
              <w:autoSpaceDE w:val="0"/>
              <w:autoSpaceDN w:val="0"/>
              <w:bidi w:val="0"/>
              <w:adjustRightInd w:val="0"/>
              <w:snapToGrid w:val="0"/>
              <w:spacing w:line="400" w:lineRule="exact"/>
              <w:ind w:left="0" w:firstLine="440" w:firstLineChars="200"/>
              <w:jc w:val="both"/>
              <w:textAlignment w:val="baseline"/>
              <w:rPr>
                <w:rFonts w:hint="eastAsia" w:ascii="仿宋_GB2312" w:hAnsi="仿宋_GB2312" w:eastAsia="仿宋_GB2312" w:cs="仿宋_GB2312"/>
                <w:snapToGrid w:val="0"/>
                <w:color w:val="000000"/>
                <w:spacing w:val="0"/>
                <w:w w:val="100"/>
                <w:kern w:val="0"/>
                <w:sz w:val="22"/>
                <w:szCs w:val="22"/>
              </w:rPr>
            </w:pPr>
            <w:r>
              <w:rPr>
                <w:rFonts w:hint="eastAsia" w:ascii="仿宋_GB2312" w:hAnsi="仿宋_GB2312" w:eastAsia="仿宋_GB2312" w:cs="仿宋_GB2312"/>
                <w:snapToGrid w:val="0"/>
                <w:color w:val="000000"/>
                <w:spacing w:val="0"/>
                <w:w w:val="100"/>
                <w:kern w:val="0"/>
                <w:sz w:val="22"/>
                <w:szCs w:val="22"/>
              </w:rPr>
              <w:t>我已将知情同意书的内容向患者以及其他（□监护人，□监护人授权的代理人）详细告知。其他未尽事宜，将与患方继续沟通。</w:t>
            </w:r>
          </w:p>
          <w:p w14:paraId="7E3709DC">
            <w:pPr>
              <w:keepNext w:val="0"/>
              <w:keepLines w:val="0"/>
              <w:pageBreakBefore w:val="0"/>
              <w:widowControl w:val="0"/>
              <w:kinsoku/>
              <w:wordWrap/>
              <w:overflowPunct/>
              <w:topLinePunct/>
              <w:autoSpaceDE w:val="0"/>
              <w:autoSpaceDN w:val="0"/>
              <w:bidi w:val="0"/>
              <w:adjustRightInd w:val="0"/>
              <w:snapToGrid w:val="0"/>
              <w:spacing w:line="400" w:lineRule="exact"/>
              <w:ind w:left="0" w:firstLine="440" w:firstLineChars="200"/>
              <w:jc w:val="both"/>
              <w:textAlignment w:val="baseline"/>
              <w:rPr>
                <w:rFonts w:hint="eastAsia" w:ascii="仿宋_GB2312" w:hAnsi="仿宋_GB2312" w:eastAsia="仿宋_GB2312" w:cs="仿宋_GB2312"/>
                <w:snapToGrid w:val="0"/>
                <w:color w:val="000000"/>
                <w:spacing w:val="0"/>
                <w:w w:val="100"/>
                <w:kern w:val="0"/>
                <w:sz w:val="22"/>
                <w:szCs w:val="22"/>
              </w:rPr>
            </w:pPr>
            <w:r>
              <w:rPr>
                <w:rFonts w:hint="eastAsia" w:ascii="仿宋_GB2312" w:hAnsi="仿宋_GB2312" w:eastAsia="仿宋_GB2312" w:cs="仿宋_GB2312"/>
                <w:snapToGrid w:val="0"/>
                <w:color w:val="000000"/>
                <w:spacing w:val="0"/>
                <w:w w:val="100"/>
                <w:kern w:val="0"/>
                <w:sz w:val="22"/>
                <w:szCs w:val="22"/>
              </w:rPr>
              <w:t>医护人员签名：</w:t>
            </w:r>
            <w:r>
              <w:rPr>
                <w:rFonts w:hint="eastAsia" w:ascii="仿宋_GB2312" w:hAnsi="仿宋_GB2312" w:eastAsia="仿宋_GB2312" w:cs="仿宋_GB2312"/>
                <w:snapToGrid w:val="0"/>
                <w:color w:val="000000"/>
                <w:spacing w:val="0"/>
                <w:w w:val="100"/>
                <w:kern w:val="0"/>
                <w:sz w:val="22"/>
                <w:szCs w:val="22"/>
                <w:u w:val="single"/>
              </w:rPr>
              <w:t xml:space="preserve">  </w:t>
            </w:r>
            <w:r>
              <w:rPr>
                <w:rFonts w:hint="eastAsia" w:ascii="仿宋_GB2312" w:hAnsi="仿宋_GB2312" w:eastAsia="仿宋_GB2312" w:cs="仿宋_GB2312"/>
                <w:snapToGrid w:val="0"/>
                <w:color w:val="000000"/>
                <w:spacing w:val="0"/>
                <w:w w:val="100"/>
                <w:kern w:val="0"/>
                <w:sz w:val="22"/>
                <w:szCs w:val="22"/>
                <w:u w:val="single"/>
                <w:lang w:val="en-US" w:eastAsia="zh-CN"/>
              </w:rPr>
              <w:t xml:space="preserve">      </w:t>
            </w:r>
            <w:r>
              <w:rPr>
                <w:rFonts w:hint="eastAsia" w:ascii="仿宋_GB2312" w:hAnsi="仿宋_GB2312" w:eastAsia="仿宋_GB2312" w:cs="仿宋_GB2312"/>
                <w:snapToGrid w:val="0"/>
                <w:color w:val="000000"/>
                <w:spacing w:val="0"/>
                <w:w w:val="100"/>
                <w:kern w:val="0"/>
                <w:sz w:val="22"/>
                <w:szCs w:val="22"/>
                <w:u w:val="single"/>
              </w:rPr>
              <w:t xml:space="preserve">  </w:t>
            </w:r>
            <w:r>
              <w:rPr>
                <w:rFonts w:hint="eastAsia" w:ascii="仿宋_GB2312" w:hAnsi="仿宋_GB2312" w:eastAsia="仿宋_GB2312" w:cs="仿宋_GB2312"/>
                <w:snapToGrid w:val="0"/>
                <w:color w:val="000000"/>
                <w:spacing w:val="0"/>
                <w:w w:val="100"/>
                <w:kern w:val="0"/>
                <w:sz w:val="22"/>
                <w:szCs w:val="22"/>
              </w:rPr>
              <w:t>签名日期：</w:t>
            </w:r>
            <w:r>
              <w:rPr>
                <w:rFonts w:hint="eastAsia" w:ascii="仿宋_GB2312" w:hAnsi="仿宋_GB2312" w:eastAsia="仿宋_GB2312" w:cs="仿宋_GB2312"/>
                <w:snapToGrid w:val="0"/>
                <w:color w:val="000000"/>
                <w:spacing w:val="0"/>
                <w:w w:val="100"/>
                <w:kern w:val="0"/>
                <w:sz w:val="22"/>
                <w:szCs w:val="22"/>
                <w:u w:val="single"/>
              </w:rPr>
              <w:t xml:space="preserve">    </w:t>
            </w:r>
            <w:r>
              <w:rPr>
                <w:rFonts w:hint="eastAsia" w:ascii="仿宋_GB2312" w:hAnsi="仿宋_GB2312" w:eastAsia="仿宋_GB2312" w:cs="仿宋_GB2312"/>
                <w:snapToGrid w:val="0"/>
                <w:color w:val="000000"/>
                <w:spacing w:val="0"/>
                <w:w w:val="100"/>
                <w:kern w:val="0"/>
                <w:sz w:val="22"/>
                <w:szCs w:val="22"/>
              </w:rPr>
              <w:t>年</w:t>
            </w:r>
            <w:r>
              <w:rPr>
                <w:rFonts w:hint="eastAsia" w:ascii="仿宋_GB2312" w:hAnsi="仿宋_GB2312" w:eastAsia="仿宋_GB2312" w:cs="仿宋_GB2312"/>
                <w:snapToGrid w:val="0"/>
                <w:color w:val="000000"/>
                <w:spacing w:val="0"/>
                <w:w w:val="100"/>
                <w:kern w:val="0"/>
                <w:sz w:val="22"/>
                <w:szCs w:val="22"/>
                <w:u w:val="single"/>
              </w:rPr>
              <w:t xml:space="preserve">    </w:t>
            </w:r>
            <w:r>
              <w:rPr>
                <w:rFonts w:hint="eastAsia" w:ascii="仿宋_GB2312" w:hAnsi="仿宋_GB2312" w:eastAsia="仿宋_GB2312" w:cs="仿宋_GB2312"/>
                <w:snapToGrid w:val="0"/>
                <w:color w:val="000000"/>
                <w:spacing w:val="0"/>
                <w:w w:val="100"/>
                <w:kern w:val="0"/>
                <w:sz w:val="22"/>
                <w:szCs w:val="22"/>
              </w:rPr>
              <w:t>月</w:t>
            </w:r>
            <w:r>
              <w:rPr>
                <w:rFonts w:hint="eastAsia" w:ascii="仿宋_GB2312" w:hAnsi="仿宋_GB2312" w:eastAsia="仿宋_GB2312" w:cs="仿宋_GB2312"/>
                <w:snapToGrid w:val="0"/>
                <w:color w:val="000000"/>
                <w:spacing w:val="0"/>
                <w:w w:val="100"/>
                <w:kern w:val="0"/>
                <w:sz w:val="22"/>
                <w:szCs w:val="22"/>
                <w:u w:val="single"/>
              </w:rPr>
              <w:t xml:space="preserve">    </w:t>
            </w:r>
            <w:r>
              <w:rPr>
                <w:rFonts w:hint="eastAsia" w:ascii="仿宋_GB2312" w:hAnsi="仿宋_GB2312" w:eastAsia="仿宋_GB2312" w:cs="仿宋_GB2312"/>
                <w:snapToGrid w:val="0"/>
                <w:color w:val="000000"/>
                <w:spacing w:val="0"/>
                <w:w w:val="100"/>
                <w:kern w:val="0"/>
                <w:sz w:val="22"/>
                <w:szCs w:val="22"/>
              </w:rPr>
              <w:t>日</w:t>
            </w:r>
          </w:p>
        </w:tc>
      </w:tr>
    </w:tbl>
    <w:p w14:paraId="407336EE">
      <w:pPr>
        <w:pStyle w:val="9"/>
        <w:keepNext w:val="0"/>
        <w:keepLines w:val="0"/>
        <w:pageBreakBefore w:val="0"/>
        <w:widowControl w:val="0"/>
        <w:kinsoku/>
        <w:wordWrap/>
        <w:overflowPunct/>
        <w:topLinePunct w:val="0"/>
        <w:autoSpaceDE/>
        <w:autoSpaceDN/>
        <w:bidi w:val="0"/>
        <w:adjustRightInd/>
        <w:snapToGrid w:val="0"/>
        <w:spacing w:after="0"/>
        <w:textAlignment w:val="auto"/>
        <w:rPr>
          <w:rFonts w:hint="eastAsia" w:ascii="仿宋_GB2312" w:hAnsi="仿宋_GB2312" w:eastAsia="仿宋_GB2312" w:cs="仿宋_GB2312"/>
          <w:b/>
          <w:bCs/>
          <w:snapToGrid w:val="0"/>
          <w:spacing w:val="0"/>
          <w:kern w:val="0"/>
          <w:sz w:val="30"/>
          <w:szCs w:val="30"/>
        </w:rPr>
      </w:pPr>
    </w:p>
    <w:p w14:paraId="2C686CB2">
      <w:pPr>
        <w:pStyle w:val="9"/>
        <w:keepNext w:val="0"/>
        <w:keepLines w:val="0"/>
        <w:pageBreakBefore w:val="0"/>
        <w:widowControl w:val="0"/>
        <w:kinsoku/>
        <w:wordWrap/>
        <w:overflowPunct/>
        <w:topLinePunct w:val="0"/>
        <w:autoSpaceDE/>
        <w:autoSpaceDN/>
        <w:bidi w:val="0"/>
        <w:adjustRightInd/>
        <w:snapToGrid w:val="0"/>
        <w:spacing w:after="0"/>
        <w:textAlignment w:val="auto"/>
        <w:rPr>
          <w:rFonts w:hint="eastAsia" w:ascii="仿宋_GB2312" w:hAnsi="仿宋_GB2312" w:eastAsia="仿宋_GB2312" w:cs="仿宋_GB2312"/>
          <w:b/>
          <w:bCs/>
          <w:snapToGrid w:val="0"/>
          <w:spacing w:val="0"/>
          <w:kern w:val="0"/>
          <w:sz w:val="30"/>
          <w:szCs w:val="30"/>
        </w:rPr>
      </w:pPr>
    </w:p>
    <w:p w14:paraId="0B1CD2E6">
      <w:pPr>
        <w:pStyle w:val="9"/>
        <w:keepNext w:val="0"/>
        <w:keepLines w:val="0"/>
        <w:pageBreakBefore w:val="0"/>
        <w:widowControl w:val="0"/>
        <w:kinsoku/>
        <w:wordWrap/>
        <w:overflowPunct/>
        <w:topLinePunct w:val="0"/>
        <w:autoSpaceDE/>
        <w:autoSpaceDN/>
        <w:bidi w:val="0"/>
        <w:adjustRightInd/>
        <w:snapToGrid w:val="0"/>
        <w:spacing w:after="0"/>
        <w:textAlignment w:val="auto"/>
        <w:rPr>
          <w:rFonts w:hint="eastAsia" w:ascii="仿宋_GB2312" w:hAnsi="仿宋_GB2312" w:eastAsia="仿宋_GB2312" w:cs="仿宋_GB2312"/>
          <w:b/>
          <w:bCs/>
          <w:snapToGrid w:val="0"/>
          <w:spacing w:val="0"/>
          <w:kern w:val="0"/>
          <w:sz w:val="30"/>
          <w:szCs w:val="30"/>
        </w:rPr>
      </w:pPr>
    </w:p>
    <w:p w14:paraId="2AD7239F">
      <w:pPr>
        <w:pStyle w:val="9"/>
        <w:keepNext w:val="0"/>
        <w:keepLines w:val="0"/>
        <w:pageBreakBefore w:val="0"/>
        <w:widowControl w:val="0"/>
        <w:kinsoku/>
        <w:wordWrap/>
        <w:overflowPunct/>
        <w:topLinePunct w:val="0"/>
        <w:autoSpaceDE/>
        <w:autoSpaceDN/>
        <w:bidi w:val="0"/>
        <w:adjustRightInd/>
        <w:snapToGrid w:val="0"/>
        <w:spacing w:after="0"/>
        <w:textAlignment w:val="auto"/>
        <w:rPr>
          <w:rFonts w:hint="eastAsia" w:ascii="仿宋_GB2312" w:hAnsi="仿宋_GB2312" w:eastAsia="仿宋_GB2312" w:cs="仿宋_GB2312"/>
          <w:b/>
          <w:bCs/>
          <w:snapToGrid w:val="0"/>
          <w:spacing w:val="0"/>
          <w:kern w:val="0"/>
          <w:sz w:val="30"/>
          <w:szCs w:val="30"/>
        </w:rPr>
      </w:pPr>
    </w:p>
    <w:p w14:paraId="378E1C9C">
      <w:pPr>
        <w:pStyle w:val="9"/>
        <w:keepNext w:val="0"/>
        <w:keepLines w:val="0"/>
        <w:pageBreakBefore w:val="0"/>
        <w:widowControl w:val="0"/>
        <w:kinsoku/>
        <w:wordWrap/>
        <w:overflowPunct/>
        <w:topLinePunct w:val="0"/>
        <w:autoSpaceDE/>
        <w:autoSpaceDN/>
        <w:bidi w:val="0"/>
        <w:adjustRightInd/>
        <w:snapToGrid w:val="0"/>
        <w:spacing w:after="0"/>
        <w:textAlignment w:val="auto"/>
        <w:rPr>
          <w:rFonts w:hint="eastAsia" w:ascii="仿宋_GB2312" w:hAnsi="仿宋_GB2312" w:eastAsia="仿宋_GB2312" w:cs="仿宋_GB2312"/>
          <w:b/>
          <w:bCs/>
          <w:snapToGrid w:val="0"/>
          <w:spacing w:val="0"/>
          <w:kern w:val="0"/>
          <w:sz w:val="30"/>
          <w:szCs w:val="30"/>
        </w:rPr>
      </w:pPr>
    </w:p>
    <w:p w14:paraId="3DEC75B3">
      <w:pPr>
        <w:pStyle w:val="9"/>
        <w:keepNext w:val="0"/>
        <w:keepLines w:val="0"/>
        <w:pageBreakBefore w:val="0"/>
        <w:widowControl w:val="0"/>
        <w:kinsoku/>
        <w:wordWrap/>
        <w:overflowPunct/>
        <w:topLinePunct w:val="0"/>
        <w:autoSpaceDE/>
        <w:autoSpaceDN/>
        <w:bidi w:val="0"/>
        <w:adjustRightInd/>
        <w:snapToGrid w:val="0"/>
        <w:spacing w:after="0"/>
        <w:textAlignment w:val="auto"/>
        <w:rPr>
          <w:rFonts w:hint="eastAsia" w:ascii="仿宋_GB2312" w:hAnsi="仿宋_GB2312" w:eastAsia="仿宋_GB2312" w:cs="仿宋_GB2312"/>
          <w:b/>
          <w:bCs/>
          <w:snapToGrid w:val="0"/>
          <w:spacing w:val="0"/>
          <w:kern w:val="0"/>
          <w:sz w:val="30"/>
          <w:szCs w:val="30"/>
        </w:rPr>
      </w:pPr>
    </w:p>
    <w:p w14:paraId="314956C4">
      <w:pPr>
        <w:pStyle w:val="9"/>
        <w:keepNext w:val="0"/>
        <w:keepLines w:val="0"/>
        <w:pageBreakBefore w:val="0"/>
        <w:widowControl w:val="0"/>
        <w:kinsoku/>
        <w:wordWrap/>
        <w:overflowPunct/>
        <w:topLinePunct w:val="0"/>
        <w:autoSpaceDE/>
        <w:autoSpaceDN/>
        <w:bidi w:val="0"/>
        <w:adjustRightInd/>
        <w:snapToGrid w:val="0"/>
        <w:spacing w:after="0"/>
        <w:textAlignment w:val="auto"/>
        <w:rPr>
          <w:rFonts w:hint="eastAsia" w:ascii="仿宋_GB2312" w:hAnsi="仿宋_GB2312" w:eastAsia="仿宋_GB2312" w:cs="仿宋_GB2312"/>
          <w:b/>
          <w:bCs/>
          <w:snapToGrid w:val="0"/>
          <w:spacing w:val="0"/>
          <w:kern w:val="0"/>
          <w:sz w:val="30"/>
          <w:szCs w:val="30"/>
        </w:rPr>
      </w:pPr>
    </w:p>
    <w:p w14:paraId="6EFCAE3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kern w:val="0"/>
          <w:sz w:val="32"/>
          <w:szCs w:val="32"/>
        </w:rPr>
      </w:pPr>
      <w:r>
        <w:rPr>
          <w:rFonts w:hint="eastAsia" w:ascii="黑体" w:hAnsi="黑体" w:eastAsia="黑体" w:cs="黑体"/>
          <w:kern w:val="0"/>
          <w:sz w:val="32"/>
          <w:szCs w:val="32"/>
        </w:rPr>
        <w:t>附</w:t>
      </w:r>
      <w:r>
        <w:rPr>
          <w:rFonts w:hint="eastAsia" w:ascii="Times New Roman" w:hAnsi="Times New Roman" w:eastAsia="黑体" w:cs="黑体"/>
          <w:kern w:val="0"/>
          <w:sz w:val="32"/>
          <w:szCs w:val="32"/>
        </w:rPr>
        <w:t>4</w:t>
      </w:r>
    </w:p>
    <w:p w14:paraId="7E989581">
      <w:pPr>
        <w:keepNext w:val="0"/>
        <w:keepLines w:val="0"/>
        <w:pageBreakBefore w:val="0"/>
        <w:widowControl w:val="0"/>
        <w:kinsoku/>
        <w:wordWrap/>
        <w:overflowPunct/>
        <w:topLinePunct w:val="0"/>
        <w:autoSpaceDE/>
        <w:autoSpaceDN/>
        <w:bidi w:val="0"/>
        <w:adjustRightInd w:val="0"/>
        <w:snapToGrid w:val="0"/>
        <w:spacing w:before="157" w:beforeLines="50" w:after="95" w:afterLines="30" w:line="240" w:lineRule="auto"/>
        <w:jc w:val="center"/>
        <w:textAlignment w:val="auto"/>
        <w:rPr>
          <w:rFonts w:hint="eastAsia" w:ascii="方正小标宋_GBK" w:hAnsi="方正小标宋_GBK" w:eastAsia="方正小标宋_GBK" w:cs="方正小标宋_GBK"/>
          <w:color w:val="000000" w:themeColor="text1"/>
          <w:spacing w:val="11"/>
          <w:sz w:val="40"/>
          <w:szCs w:val="40"/>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pacing w:val="11"/>
          <w:sz w:val="40"/>
          <w:szCs w:val="40"/>
          <w:lang w:val="en-US" w:eastAsia="zh-CN"/>
          <w14:textFill>
            <w14:solidFill>
              <w14:schemeClr w14:val="tx1"/>
            </w14:solidFill>
          </w14:textFill>
        </w:rPr>
        <w:t>非自愿住院患者保护性医疗措施知情同意书</w:t>
      </w:r>
    </w:p>
    <w:tbl>
      <w:tblPr>
        <w:tblStyle w:val="82"/>
        <w:tblW w:w="93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1079"/>
        <w:gridCol w:w="1534"/>
        <w:gridCol w:w="792"/>
        <w:gridCol w:w="944"/>
        <w:gridCol w:w="792"/>
        <w:gridCol w:w="1112"/>
        <w:gridCol w:w="978"/>
        <w:gridCol w:w="2106"/>
      </w:tblGrid>
      <w:tr w14:paraId="46EC2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2" w:hRule="atLeast"/>
          <w:jc w:val="center"/>
        </w:trPr>
        <w:tc>
          <w:tcPr>
            <w:tcW w:w="1079" w:type="dxa"/>
            <w:vAlign w:val="center"/>
          </w:tcPr>
          <w:p w14:paraId="7F9E32A5">
            <w:pPr>
              <w:keepNext w:val="0"/>
              <w:keepLines w:val="0"/>
              <w:pageBreakBefore w:val="0"/>
              <w:widowControl w:val="0"/>
              <w:kinsoku/>
              <w:wordWrap/>
              <w:overflowPunct/>
              <w:topLinePunct/>
              <w:autoSpaceDE w:val="0"/>
              <w:autoSpaceDN/>
              <w:bidi w:val="0"/>
              <w:adjustRightInd w:val="0"/>
              <w:snapToGrid w:val="0"/>
              <w:spacing w:line="400" w:lineRule="exact"/>
              <w:ind w:firstLine="0" w:firstLineChars="0"/>
              <w:jc w:val="center"/>
              <w:textAlignment w:val="baseline"/>
              <w:rPr>
                <w:rFonts w:hint="eastAsia" w:ascii="仿宋_GB2312" w:hAnsi="仿宋_GB2312" w:eastAsia="仿宋_GB2312" w:cs="仿宋_GB2312"/>
                <w:snapToGrid w:val="0"/>
                <w:color w:val="000000"/>
                <w:spacing w:val="0"/>
                <w:kern w:val="0"/>
                <w:sz w:val="22"/>
                <w:szCs w:val="22"/>
                <w:lang w:eastAsia="en-US"/>
              </w:rPr>
            </w:pPr>
            <w:r>
              <w:rPr>
                <w:rFonts w:hint="eastAsia" w:ascii="仿宋_GB2312" w:hAnsi="仿宋_GB2312" w:eastAsia="仿宋_GB2312" w:cs="仿宋_GB2312"/>
                <w:snapToGrid w:val="0"/>
                <w:color w:val="000000"/>
                <w:spacing w:val="0"/>
                <w:kern w:val="0"/>
                <w:sz w:val="22"/>
                <w:szCs w:val="22"/>
                <w:lang w:eastAsia="en-US"/>
              </w:rPr>
              <w:t>患者姓名</w:t>
            </w:r>
          </w:p>
        </w:tc>
        <w:tc>
          <w:tcPr>
            <w:tcW w:w="1534" w:type="dxa"/>
            <w:vAlign w:val="center"/>
          </w:tcPr>
          <w:p w14:paraId="06A3A4CC">
            <w:pPr>
              <w:keepNext w:val="0"/>
              <w:keepLines w:val="0"/>
              <w:pageBreakBefore w:val="0"/>
              <w:widowControl w:val="0"/>
              <w:kinsoku/>
              <w:wordWrap/>
              <w:overflowPunct/>
              <w:topLinePunct/>
              <w:autoSpaceDE w:val="0"/>
              <w:autoSpaceDN/>
              <w:bidi w:val="0"/>
              <w:adjustRightInd w:val="0"/>
              <w:snapToGrid w:val="0"/>
              <w:spacing w:line="400" w:lineRule="exact"/>
              <w:ind w:firstLine="0" w:firstLineChars="0"/>
              <w:jc w:val="center"/>
              <w:textAlignment w:val="baseline"/>
              <w:rPr>
                <w:rFonts w:hint="eastAsia" w:ascii="仿宋_GB2312" w:hAnsi="仿宋_GB2312" w:eastAsia="仿宋_GB2312" w:cs="仿宋_GB2312"/>
                <w:snapToGrid w:val="0"/>
                <w:color w:val="000000"/>
                <w:spacing w:val="0"/>
                <w:kern w:val="0"/>
                <w:sz w:val="22"/>
                <w:szCs w:val="22"/>
                <w:lang w:eastAsia="en-US"/>
              </w:rPr>
            </w:pPr>
          </w:p>
        </w:tc>
        <w:tc>
          <w:tcPr>
            <w:tcW w:w="792" w:type="dxa"/>
            <w:vAlign w:val="center"/>
          </w:tcPr>
          <w:p w14:paraId="781403E0">
            <w:pPr>
              <w:keepNext w:val="0"/>
              <w:keepLines w:val="0"/>
              <w:pageBreakBefore w:val="0"/>
              <w:widowControl w:val="0"/>
              <w:kinsoku/>
              <w:wordWrap/>
              <w:overflowPunct/>
              <w:topLinePunct/>
              <w:autoSpaceDE w:val="0"/>
              <w:autoSpaceDN/>
              <w:bidi w:val="0"/>
              <w:adjustRightInd w:val="0"/>
              <w:snapToGrid w:val="0"/>
              <w:spacing w:line="400" w:lineRule="exact"/>
              <w:ind w:firstLine="0" w:firstLineChars="0"/>
              <w:jc w:val="center"/>
              <w:textAlignment w:val="baseline"/>
              <w:rPr>
                <w:rFonts w:hint="eastAsia" w:ascii="仿宋_GB2312" w:hAnsi="仿宋_GB2312" w:eastAsia="仿宋_GB2312" w:cs="仿宋_GB2312"/>
                <w:snapToGrid w:val="0"/>
                <w:color w:val="000000"/>
                <w:spacing w:val="0"/>
                <w:kern w:val="0"/>
                <w:sz w:val="22"/>
                <w:szCs w:val="22"/>
                <w:lang w:eastAsia="en-US"/>
              </w:rPr>
            </w:pPr>
            <w:r>
              <w:rPr>
                <w:rFonts w:hint="eastAsia" w:ascii="仿宋_GB2312" w:hAnsi="仿宋_GB2312" w:eastAsia="仿宋_GB2312" w:cs="仿宋_GB2312"/>
                <w:snapToGrid w:val="0"/>
                <w:color w:val="000000"/>
                <w:spacing w:val="0"/>
                <w:kern w:val="0"/>
                <w:sz w:val="22"/>
                <w:szCs w:val="22"/>
                <w:lang w:eastAsia="en-US"/>
              </w:rPr>
              <w:t>性别</w:t>
            </w:r>
          </w:p>
        </w:tc>
        <w:tc>
          <w:tcPr>
            <w:tcW w:w="944" w:type="dxa"/>
            <w:vAlign w:val="center"/>
          </w:tcPr>
          <w:p w14:paraId="0EDC3FBF">
            <w:pPr>
              <w:keepNext w:val="0"/>
              <w:keepLines w:val="0"/>
              <w:pageBreakBefore w:val="0"/>
              <w:widowControl w:val="0"/>
              <w:kinsoku/>
              <w:wordWrap/>
              <w:overflowPunct/>
              <w:topLinePunct/>
              <w:autoSpaceDE w:val="0"/>
              <w:autoSpaceDN/>
              <w:bidi w:val="0"/>
              <w:adjustRightInd w:val="0"/>
              <w:snapToGrid w:val="0"/>
              <w:spacing w:line="400" w:lineRule="exact"/>
              <w:ind w:firstLine="0" w:firstLineChars="0"/>
              <w:jc w:val="center"/>
              <w:textAlignment w:val="baseline"/>
              <w:rPr>
                <w:rFonts w:hint="eastAsia" w:ascii="仿宋_GB2312" w:hAnsi="仿宋_GB2312" w:eastAsia="仿宋_GB2312" w:cs="仿宋_GB2312"/>
                <w:snapToGrid w:val="0"/>
                <w:color w:val="000000"/>
                <w:spacing w:val="0"/>
                <w:kern w:val="0"/>
                <w:sz w:val="22"/>
                <w:szCs w:val="22"/>
                <w:lang w:eastAsia="en-US"/>
              </w:rPr>
            </w:pPr>
          </w:p>
        </w:tc>
        <w:tc>
          <w:tcPr>
            <w:tcW w:w="792" w:type="dxa"/>
            <w:vAlign w:val="center"/>
          </w:tcPr>
          <w:p w14:paraId="52B62711">
            <w:pPr>
              <w:keepNext w:val="0"/>
              <w:keepLines w:val="0"/>
              <w:pageBreakBefore w:val="0"/>
              <w:widowControl w:val="0"/>
              <w:kinsoku/>
              <w:wordWrap/>
              <w:overflowPunct/>
              <w:topLinePunct/>
              <w:autoSpaceDE w:val="0"/>
              <w:autoSpaceDN/>
              <w:bidi w:val="0"/>
              <w:adjustRightInd w:val="0"/>
              <w:snapToGrid w:val="0"/>
              <w:spacing w:line="400" w:lineRule="exact"/>
              <w:ind w:firstLine="0" w:firstLineChars="0"/>
              <w:jc w:val="center"/>
              <w:textAlignment w:val="baseline"/>
              <w:rPr>
                <w:rFonts w:hint="eastAsia" w:ascii="仿宋_GB2312" w:hAnsi="仿宋_GB2312" w:eastAsia="仿宋_GB2312" w:cs="仿宋_GB2312"/>
                <w:snapToGrid w:val="0"/>
                <w:color w:val="000000"/>
                <w:spacing w:val="0"/>
                <w:kern w:val="0"/>
                <w:sz w:val="22"/>
                <w:szCs w:val="22"/>
                <w:lang w:eastAsia="en-US"/>
              </w:rPr>
            </w:pPr>
            <w:r>
              <w:rPr>
                <w:rFonts w:hint="eastAsia" w:ascii="仿宋_GB2312" w:hAnsi="仿宋_GB2312" w:eastAsia="仿宋_GB2312" w:cs="仿宋_GB2312"/>
                <w:snapToGrid w:val="0"/>
                <w:color w:val="000000"/>
                <w:spacing w:val="0"/>
                <w:kern w:val="0"/>
                <w:sz w:val="22"/>
                <w:szCs w:val="22"/>
                <w:lang w:eastAsia="en-US"/>
              </w:rPr>
              <w:t>年龄</w:t>
            </w:r>
          </w:p>
        </w:tc>
        <w:tc>
          <w:tcPr>
            <w:tcW w:w="1112" w:type="dxa"/>
            <w:vAlign w:val="center"/>
          </w:tcPr>
          <w:p w14:paraId="572A66E2">
            <w:pPr>
              <w:keepNext w:val="0"/>
              <w:keepLines w:val="0"/>
              <w:pageBreakBefore w:val="0"/>
              <w:widowControl w:val="0"/>
              <w:kinsoku/>
              <w:wordWrap/>
              <w:overflowPunct/>
              <w:topLinePunct/>
              <w:autoSpaceDE w:val="0"/>
              <w:autoSpaceDN/>
              <w:bidi w:val="0"/>
              <w:adjustRightInd w:val="0"/>
              <w:snapToGrid w:val="0"/>
              <w:spacing w:line="400" w:lineRule="exact"/>
              <w:ind w:firstLine="0" w:firstLineChars="0"/>
              <w:jc w:val="center"/>
              <w:textAlignment w:val="baseline"/>
              <w:rPr>
                <w:rFonts w:hint="eastAsia" w:ascii="仿宋_GB2312" w:hAnsi="仿宋_GB2312" w:eastAsia="仿宋_GB2312" w:cs="仿宋_GB2312"/>
                <w:snapToGrid w:val="0"/>
                <w:color w:val="000000"/>
                <w:spacing w:val="0"/>
                <w:kern w:val="0"/>
                <w:sz w:val="22"/>
                <w:szCs w:val="22"/>
                <w:lang w:eastAsia="en-US"/>
              </w:rPr>
            </w:pPr>
          </w:p>
        </w:tc>
        <w:tc>
          <w:tcPr>
            <w:tcW w:w="978" w:type="dxa"/>
            <w:vAlign w:val="center"/>
          </w:tcPr>
          <w:p w14:paraId="4486CBA7">
            <w:pPr>
              <w:keepNext w:val="0"/>
              <w:keepLines w:val="0"/>
              <w:pageBreakBefore w:val="0"/>
              <w:widowControl w:val="0"/>
              <w:kinsoku/>
              <w:wordWrap/>
              <w:overflowPunct/>
              <w:topLinePunct/>
              <w:autoSpaceDE w:val="0"/>
              <w:autoSpaceDN/>
              <w:bidi w:val="0"/>
              <w:adjustRightInd w:val="0"/>
              <w:snapToGrid w:val="0"/>
              <w:spacing w:line="400" w:lineRule="exact"/>
              <w:ind w:firstLine="0" w:firstLineChars="0"/>
              <w:jc w:val="center"/>
              <w:textAlignment w:val="baseline"/>
              <w:rPr>
                <w:rFonts w:hint="eastAsia" w:ascii="仿宋_GB2312" w:hAnsi="仿宋_GB2312" w:eastAsia="仿宋_GB2312" w:cs="仿宋_GB2312"/>
                <w:snapToGrid w:val="0"/>
                <w:color w:val="000000"/>
                <w:spacing w:val="0"/>
                <w:kern w:val="0"/>
                <w:sz w:val="22"/>
                <w:szCs w:val="22"/>
                <w:lang w:eastAsia="en-US"/>
              </w:rPr>
            </w:pPr>
            <w:r>
              <w:rPr>
                <w:rFonts w:hint="eastAsia" w:ascii="仿宋_GB2312" w:hAnsi="仿宋_GB2312" w:eastAsia="仿宋_GB2312" w:cs="仿宋_GB2312"/>
                <w:snapToGrid w:val="0"/>
                <w:color w:val="000000"/>
                <w:spacing w:val="0"/>
                <w:kern w:val="0"/>
                <w:sz w:val="22"/>
                <w:szCs w:val="22"/>
                <w:lang w:eastAsia="en-US"/>
              </w:rPr>
              <w:t>住院号</w:t>
            </w:r>
          </w:p>
        </w:tc>
        <w:tc>
          <w:tcPr>
            <w:tcW w:w="2106" w:type="dxa"/>
            <w:vAlign w:val="center"/>
          </w:tcPr>
          <w:p w14:paraId="732A7981">
            <w:pPr>
              <w:keepNext w:val="0"/>
              <w:keepLines w:val="0"/>
              <w:pageBreakBefore w:val="0"/>
              <w:widowControl w:val="0"/>
              <w:kinsoku/>
              <w:wordWrap/>
              <w:overflowPunct/>
              <w:topLinePunct/>
              <w:autoSpaceDE w:val="0"/>
              <w:autoSpaceDN/>
              <w:bidi w:val="0"/>
              <w:adjustRightInd w:val="0"/>
              <w:snapToGrid w:val="0"/>
              <w:spacing w:line="400" w:lineRule="exact"/>
              <w:ind w:firstLine="0" w:firstLineChars="0"/>
              <w:jc w:val="center"/>
              <w:textAlignment w:val="baseline"/>
              <w:rPr>
                <w:rFonts w:hint="eastAsia" w:ascii="仿宋_GB2312" w:hAnsi="仿宋_GB2312" w:eastAsia="仿宋_GB2312" w:cs="仿宋_GB2312"/>
                <w:snapToGrid w:val="0"/>
                <w:color w:val="000000"/>
                <w:spacing w:val="0"/>
                <w:kern w:val="0"/>
                <w:sz w:val="22"/>
                <w:szCs w:val="22"/>
                <w:lang w:eastAsia="en-US"/>
              </w:rPr>
            </w:pPr>
          </w:p>
        </w:tc>
      </w:tr>
      <w:tr w14:paraId="7A264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636" w:hRule="atLeast"/>
          <w:jc w:val="center"/>
        </w:trPr>
        <w:tc>
          <w:tcPr>
            <w:tcW w:w="9337" w:type="dxa"/>
            <w:gridSpan w:val="8"/>
            <w:vAlign w:val="center"/>
          </w:tcPr>
          <w:p w14:paraId="2AC006D6">
            <w:pPr>
              <w:keepNext w:val="0"/>
              <w:keepLines w:val="0"/>
              <w:pageBreakBefore w:val="0"/>
              <w:widowControl w:val="0"/>
              <w:kinsoku/>
              <w:wordWrap/>
              <w:overflowPunct/>
              <w:topLinePunct/>
              <w:autoSpaceDE w:val="0"/>
              <w:autoSpaceDN/>
              <w:bidi w:val="0"/>
              <w:adjustRightInd w:val="0"/>
              <w:snapToGrid w:val="0"/>
              <w:spacing w:line="400" w:lineRule="exact"/>
              <w:ind w:firstLine="440" w:firstLineChars="200"/>
              <w:jc w:val="both"/>
              <w:textAlignment w:val="baseline"/>
              <w:rPr>
                <w:rFonts w:hint="eastAsia" w:ascii="仿宋_GB2312" w:hAnsi="仿宋_GB2312" w:eastAsia="仿宋_GB2312" w:cs="仿宋_GB2312"/>
                <w:snapToGrid w:val="0"/>
                <w:color w:val="000000"/>
                <w:spacing w:val="0"/>
                <w:kern w:val="0"/>
                <w:sz w:val="22"/>
                <w:szCs w:val="22"/>
                <w:lang w:eastAsia="en-US"/>
              </w:rPr>
            </w:pPr>
            <w:r>
              <w:rPr>
                <w:rFonts w:hint="eastAsia" w:ascii="仿宋_GB2312" w:hAnsi="仿宋_GB2312" w:eastAsia="仿宋_GB2312" w:cs="仿宋_GB2312"/>
                <w:snapToGrid w:val="0"/>
                <w:color w:val="000000"/>
                <w:spacing w:val="0"/>
                <w:kern w:val="0"/>
                <w:sz w:val="22"/>
                <w:szCs w:val="22"/>
                <w:lang w:eastAsia="en-US"/>
              </w:rPr>
              <w:t>患者初步诊断为：</w:t>
            </w:r>
          </w:p>
          <w:p w14:paraId="35AA2E58">
            <w:pPr>
              <w:keepNext w:val="0"/>
              <w:keepLines w:val="0"/>
              <w:pageBreakBefore w:val="0"/>
              <w:widowControl w:val="0"/>
              <w:numPr>
                <w:ilvl w:val="0"/>
                <w:numId w:val="2"/>
              </w:numPr>
              <w:kinsoku/>
              <w:wordWrap/>
              <w:overflowPunct/>
              <w:topLinePunct/>
              <w:autoSpaceDE w:val="0"/>
              <w:autoSpaceDN/>
              <w:bidi w:val="0"/>
              <w:adjustRightInd w:val="0"/>
              <w:snapToGrid w:val="0"/>
              <w:spacing w:line="400" w:lineRule="exact"/>
              <w:ind w:firstLine="440" w:firstLineChars="200"/>
              <w:jc w:val="both"/>
              <w:textAlignment w:val="baseline"/>
              <w:rPr>
                <w:rFonts w:hint="eastAsia" w:ascii="仿宋_GB2312" w:hAnsi="仿宋_GB2312" w:eastAsia="仿宋_GB2312" w:cs="仿宋_GB2312"/>
                <w:snapToGrid w:val="0"/>
                <w:color w:val="000000"/>
                <w:spacing w:val="0"/>
                <w:kern w:val="0"/>
                <w:sz w:val="22"/>
                <w:szCs w:val="22"/>
                <w:lang w:eastAsia="en-US"/>
              </w:rPr>
            </w:pPr>
            <w:r>
              <w:rPr>
                <w:rFonts w:hint="eastAsia" w:ascii="仿宋_GB2312" w:hAnsi="仿宋_GB2312" w:eastAsia="仿宋_GB2312" w:cs="仿宋_GB2312"/>
                <w:snapToGrid w:val="0"/>
                <w:color w:val="000000"/>
                <w:spacing w:val="0"/>
                <w:kern w:val="0"/>
                <w:sz w:val="22"/>
                <w:szCs w:val="22"/>
                <w:lang w:eastAsia="en-US"/>
              </w:rPr>
              <w:t>告知事项</w:t>
            </w:r>
          </w:p>
          <w:p w14:paraId="59D085E3">
            <w:pPr>
              <w:keepNext w:val="0"/>
              <w:keepLines w:val="0"/>
              <w:pageBreakBefore w:val="0"/>
              <w:widowControl w:val="0"/>
              <w:kinsoku/>
              <w:wordWrap/>
              <w:overflowPunct/>
              <w:topLinePunct/>
              <w:autoSpaceDE w:val="0"/>
              <w:autoSpaceDN/>
              <w:bidi w:val="0"/>
              <w:adjustRightInd w:val="0"/>
              <w:snapToGrid w:val="0"/>
              <w:spacing w:line="400" w:lineRule="exact"/>
              <w:ind w:firstLine="440" w:firstLineChars="200"/>
              <w:jc w:val="both"/>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患者受精神症状影响，可能存在缺乏自知力、不承认患病、拒绝配合治疗等情况。住院期间，医疗机构将根据病情需要，在没有其他可替代措施的情况下，依照《中华人民共和国精神卫生法》等有关规定，对患者采取保护性约束、隔离、鼻饲、注射或口服精神药物治疗以及其他必要的医疗措施。上述措施属于医疗行为，是有效控制精神症状、保障患者及他人安全所必需的手段。</w:t>
            </w:r>
          </w:p>
          <w:p w14:paraId="0C721D28">
            <w:pPr>
              <w:keepNext w:val="0"/>
              <w:keepLines w:val="0"/>
              <w:pageBreakBefore w:val="0"/>
              <w:widowControl w:val="0"/>
              <w:kinsoku/>
              <w:wordWrap/>
              <w:overflowPunct/>
              <w:topLinePunct/>
              <w:autoSpaceDE w:val="0"/>
              <w:autoSpaceDN/>
              <w:bidi w:val="0"/>
              <w:adjustRightInd w:val="0"/>
              <w:snapToGrid w:val="0"/>
              <w:spacing w:line="400" w:lineRule="exact"/>
              <w:ind w:firstLine="440" w:firstLineChars="200"/>
              <w:jc w:val="both"/>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二、可能存在的风险</w:t>
            </w:r>
          </w:p>
          <w:p w14:paraId="14098403">
            <w:pPr>
              <w:keepNext w:val="0"/>
              <w:keepLines w:val="0"/>
              <w:pageBreakBefore w:val="0"/>
              <w:widowControl w:val="0"/>
              <w:kinsoku/>
              <w:wordWrap/>
              <w:overflowPunct/>
              <w:topLinePunct/>
              <w:autoSpaceDE w:val="0"/>
              <w:autoSpaceDN/>
              <w:bidi w:val="0"/>
              <w:adjustRightInd w:val="0"/>
              <w:snapToGrid w:val="0"/>
              <w:spacing w:line="400" w:lineRule="exact"/>
              <w:ind w:firstLine="440" w:firstLineChars="200"/>
              <w:jc w:val="both"/>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在采取上述措施过程中，尽管医务人员将严格遵守操作规范，仍可能存在以下风险：</w:t>
            </w:r>
          </w:p>
          <w:p w14:paraId="6FEC53AD">
            <w:pPr>
              <w:keepNext w:val="0"/>
              <w:keepLines w:val="0"/>
              <w:pageBreakBefore w:val="0"/>
              <w:widowControl w:val="0"/>
              <w:kinsoku/>
              <w:wordWrap/>
              <w:overflowPunct/>
              <w:topLinePunct/>
              <w:autoSpaceDE w:val="0"/>
              <w:autoSpaceDN/>
              <w:bidi w:val="0"/>
              <w:adjustRightInd w:val="0"/>
              <w:snapToGrid w:val="0"/>
              <w:spacing w:line="400" w:lineRule="exact"/>
              <w:ind w:firstLine="440" w:firstLineChars="200"/>
              <w:jc w:val="both"/>
              <w:textAlignment w:val="baseline"/>
              <w:rPr>
                <w:rFonts w:hint="eastAsia" w:ascii="仿宋_GB2312" w:hAnsi="仿宋_GB2312" w:eastAsia="仿宋_GB2312" w:cs="仿宋_GB2312"/>
                <w:snapToGrid w:val="0"/>
                <w:color w:val="000000"/>
                <w:spacing w:val="0"/>
                <w:kern w:val="0"/>
                <w:sz w:val="22"/>
                <w:szCs w:val="22"/>
              </w:rPr>
            </w:pPr>
            <w:r>
              <w:rPr>
                <w:rFonts w:hint="eastAsia" w:ascii="Times New Roman" w:hAnsi="Times New Roman" w:eastAsia="仿宋_GB2312" w:cs="仿宋_GB2312"/>
                <w:snapToGrid w:val="0"/>
                <w:color w:val="000000"/>
                <w:spacing w:val="0"/>
                <w:kern w:val="0"/>
                <w:sz w:val="22"/>
                <w:szCs w:val="22"/>
              </w:rPr>
              <w:t>1</w:t>
            </w:r>
            <w:r>
              <w:rPr>
                <w:rFonts w:hint="eastAsia" w:ascii="仿宋_GB2312" w:hAnsi="仿宋_GB2312" w:eastAsia="仿宋_GB2312" w:cs="仿宋_GB2312"/>
                <w:snapToGrid w:val="0"/>
                <w:color w:val="000000"/>
                <w:spacing w:val="0"/>
                <w:kern w:val="0"/>
                <w:sz w:val="22"/>
                <w:szCs w:val="22"/>
              </w:rPr>
              <w:t>.实施保护性约束、隔离时，可能出现皮肤擦伤、扭伤，或因患者激烈挣扎导致关节脱位、骨折等意外；</w:t>
            </w:r>
          </w:p>
          <w:p w14:paraId="5E7755B4">
            <w:pPr>
              <w:keepNext w:val="0"/>
              <w:keepLines w:val="0"/>
              <w:pageBreakBefore w:val="0"/>
              <w:widowControl w:val="0"/>
              <w:kinsoku/>
              <w:wordWrap/>
              <w:overflowPunct/>
              <w:topLinePunct/>
              <w:autoSpaceDE w:val="0"/>
              <w:autoSpaceDN/>
              <w:bidi w:val="0"/>
              <w:adjustRightInd w:val="0"/>
              <w:snapToGrid w:val="0"/>
              <w:spacing w:line="400" w:lineRule="exact"/>
              <w:ind w:firstLine="440" w:firstLineChars="200"/>
              <w:jc w:val="both"/>
              <w:textAlignment w:val="baseline"/>
              <w:rPr>
                <w:rFonts w:hint="eastAsia" w:ascii="仿宋_GB2312" w:hAnsi="仿宋_GB2312" w:eastAsia="仿宋_GB2312" w:cs="仿宋_GB2312"/>
                <w:snapToGrid w:val="0"/>
                <w:color w:val="000000"/>
                <w:spacing w:val="0"/>
                <w:kern w:val="0"/>
                <w:sz w:val="22"/>
                <w:szCs w:val="22"/>
              </w:rPr>
            </w:pPr>
            <w:r>
              <w:rPr>
                <w:rFonts w:hint="eastAsia" w:ascii="Times New Roman" w:hAnsi="Times New Roman" w:eastAsia="仿宋_GB2312" w:cs="仿宋_GB2312"/>
                <w:snapToGrid w:val="0"/>
                <w:color w:val="000000"/>
                <w:spacing w:val="0"/>
                <w:kern w:val="0"/>
                <w:sz w:val="22"/>
                <w:szCs w:val="22"/>
              </w:rPr>
              <w:t>2</w:t>
            </w:r>
            <w:r>
              <w:rPr>
                <w:rFonts w:hint="eastAsia" w:ascii="仿宋_GB2312" w:hAnsi="仿宋_GB2312" w:eastAsia="仿宋_GB2312" w:cs="仿宋_GB2312"/>
                <w:snapToGrid w:val="0"/>
                <w:color w:val="000000"/>
                <w:spacing w:val="0"/>
                <w:kern w:val="0"/>
                <w:sz w:val="22"/>
                <w:szCs w:val="22"/>
              </w:rPr>
              <w:t>.患者在兴奋、冲动状态下，可能出现难以预料的突发状况；</w:t>
            </w:r>
          </w:p>
          <w:p w14:paraId="1C0CC673">
            <w:pPr>
              <w:keepNext w:val="0"/>
              <w:keepLines w:val="0"/>
              <w:pageBreakBefore w:val="0"/>
              <w:widowControl w:val="0"/>
              <w:kinsoku/>
              <w:wordWrap/>
              <w:overflowPunct/>
              <w:topLinePunct/>
              <w:autoSpaceDE w:val="0"/>
              <w:autoSpaceDN/>
              <w:bidi w:val="0"/>
              <w:adjustRightInd w:val="0"/>
              <w:snapToGrid w:val="0"/>
              <w:spacing w:line="400" w:lineRule="exact"/>
              <w:ind w:firstLine="440" w:firstLineChars="200"/>
              <w:jc w:val="both"/>
              <w:textAlignment w:val="baseline"/>
              <w:rPr>
                <w:rFonts w:hint="eastAsia" w:ascii="仿宋_GB2312" w:hAnsi="仿宋_GB2312" w:eastAsia="仿宋_GB2312" w:cs="仿宋_GB2312"/>
                <w:snapToGrid w:val="0"/>
                <w:color w:val="000000"/>
                <w:spacing w:val="0"/>
                <w:kern w:val="0"/>
                <w:sz w:val="22"/>
                <w:szCs w:val="22"/>
              </w:rPr>
            </w:pPr>
            <w:r>
              <w:rPr>
                <w:rFonts w:hint="eastAsia" w:ascii="Times New Roman" w:hAnsi="Times New Roman" w:eastAsia="仿宋_GB2312" w:cs="仿宋_GB2312"/>
                <w:snapToGrid w:val="0"/>
                <w:color w:val="000000"/>
                <w:spacing w:val="0"/>
                <w:kern w:val="0"/>
                <w:sz w:val="22"/>
                <w:szCs w:val="22"/>
              </w:rPr>
              <w:t>3</w:t>
            </w:r>
            <w:r>
              <w:rPr>
                <w:rFonts w:hint="eastAsia" w:ascii="仿宋_GB2312" w:hAnsi="仿宋_GB2312" w:eastAsia="仿宋_GB2312" w:cs="仿宋_GB2312"/>
                <w:snapToGrid w:val="0"/>
                <w:color w:val="000000"/>
                <w:spacing w:val="0"/>
                <w:kern w:val="0"/>
                <w:sz w:val="22"/>
                <w:szCs w:val="22"/>
              </w:rPr>
              <w:t>.使用精神药物治疗，可能出现药物不良反应；</w:t>
            </w:r>
          </w:p>
          <w:p w14:paraId="19F4BE75">
            <w:pPr>
              <w:keepNext w:val="0"/>
              <w:keepLines w:val="0"/>
              <w:pageBreakBefore w:val="0"/>
              <w:widowControl w:val="0"/>
              <w:kinsoku/>
              <w:wordWrap/>
              <w:overflowPunct/>
              <w:topLinePunct/>
              <w:autoSpaceDE w:val="0"/>
              <w:autoSpaceDN/>
              <w:bidi w:val="0"/>
              <w:adjustRightInd w:val="0"/>
              <w:snapToGrid w:val="0"/>
              <w:spacing w:line="400" w:lineRule="exact"/>
              <w:ind w:firstLine="440" w:firstLineChars="200"/>
              <w:jc w:val="both"/>
              <w:textAlignment w:val="baseline"/>
              <w:rPr>
                <w:rFonts w:hint="eastAsia" w:ascii="仿宋_GB2312" w:hAnsi="仿宋_GB2312" w:eastAsia="仿宋_GB2312" w:cs="仿宋_GB2312"/>
                <w:snapToGrid w:val="0"/>
                <w:color w:val="000000"/>
                <w:spacing w:val="0"/>
                <w:kern w:val="0"/>
                <w:sz w:val="22"/>
                <w:szCs w:val="22"/>
              </w:rPr>
            </w:pPr>
            <w:r>
              <w:rPr>
                <w:rFonts w:hint="eastAsia" w:ascii="Times New Roman" w:hAnsi="Times New Roman" w:eastAsia="仿宋_GB2312" w:cs="仿宋_GB2312"/>
                <w:snapToGrid w:val="0"/>
                <w:color w:val="000000"/>
                <w:spacing w:val="0"/>
                <w:kern w:val="0"/>
                <w:sz w:val="22"/>
                <w:szCs w:val="22"/>
              </w:rPr>
              <w:t>4</w:t>
            </w:r>
            <w:r>
              <w:rPr>
                <w:rFonts w:hint="eastAsia" w:ascii="仿宋_GB2312" w:hAnsi="仿宋_GB2312" w:eastAsia="仿宋_GB2312" w:cs="仿宋_GB2312"/>
                <w:snapToGrid w:val="0"/>
                <w:color w:val="000000"/>
                <w:spacing w:val="0"/>
                <w:kern w:val="0"/>
                <w:sz w:val="22"/>
                <w:szCs w:val="22"/>
              </w:rPr>
              <w:t>.采取鼻饲及其他必要医疗措施时，可能带来相应风险；</w:t>
            </w:r>
          </w:p>
          <w:p w14:paraId="291D909E">
            <w:pPr>
              <w:keepNext w:val="0"/>
              <w:keepLines w:val="0"/>
              <w:pageBreakBefore w:val="0"/>
              <w:widowControl w:val="0"/>
              <w:kinsoku/>
              <w:wordWrap/>
              <w:overflowPunct/>
              <w:topLinePunct/>
              <w:autoSpaceDE w:val="0"/>
              <w:autoSpaceDN/>
              <w:bidi w:val="0"/>
              <w:adjustRightInd w:val="0"/>
              <w:snapToGrid w:val="0"/>
              <w:spacing w:line="400" w:lineRule="exact"/>
              <w:ind w:firstLine="440" w:firstLineChars="200"/>
              <w:jc w:val="both"/>
              <w:textAlignment w:val="baseline"/>
              <w:rPr>
                <w:rFonts w:hint="eastAsia" w:ascii="仿宋_GB2312" w:hAnsi="仿宋_GB2312" w:eastAsia="仿宋_GB2312" w:cs="仿宋_GB2312"/>
                <w:snapToGrid w:val="0"/>
                <w:color w:val="000000"/>
                <w:spacing w:val="0"/>
                <w:kern w:val="0"/>
                <w:sz w:val="22"/>
                <w:szCs w:val="22"/>
              </w:rPr>
            </w:pPr>
            <w:r>
              <w:rPr>
                <w:rFonts w:hint="eastAsia" w:ascii="Times New Roman" w:hAnsi="Times New Roman" w:eastAsia="仿宋_GB2312" w:cs="仿宋_GB2312"/>
                <w:snapToGrid w:val="0"/>
                <w:color w:val="000000"/>
                <w:spacing w:val="0"/>
                <w:kern w:val="0"/>
                <w:sz w:val="22"/>
                <w:szCs w:val="22"/>
              </w:rPr>
              <w:t>5</w:t>
            </w:r>
            <w:r>
              <w:rPr>
                <w:rFonts w:hint="eastAsia" w:ascii="仿宋_GB2312" w:hAnsi="仿宋_GB2312" w:eastAsia="仿宋_GB2312" w:cs="仿宋_GB2312"/>
                <w:snapToGrid w:val="0"/>
                <w:color w:val="000000"/>
                <w:spacing w:val="0"/>
                <w:kern w:val="0"/>
                <w:sz w:val="22"/>
                <w:szCs w:val="22"/>
              </w:rPr>
              <w:t>.其他风险：</w:t>
            </w:r>
          </w:p>
          <w:p w14:paraId="53F6AA4B">
            <w:pPr>
              <w:keepNext w:val="0"/>
              <w:keepLines w:val="0"/>
              <w:pageBreakBefore w:val="0"/>
              <w:widowControl w:val="0"/>
              <w:kinsoku/>
              <w:wordWrap/>
              <w:overflowPunct/>
              <w:topLinePunct/>
              <w:autoSpaceDE w:val="0"/>
              <w:autoSpaceDN/>
              <w:bidi w:val="0"/>
              <w:adjustRightInd w:val="0"/>
              <w:snapToGrid w:val="0"/>
              <w:spacing w:line="400" w:lineRule="exact"/>
              <w:ind w:firstLine="440" w:firstLineChars="200"/>
              <w:jc w:val="both"/>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三、医方承诺</w:t>
            </w:r>
          </w:p>
          <w:p w14:paraId="04B183E2">
            <w:pPr>
              <w:keepNext w:val="0"/>
              <w:keepLines w:val="0"/>
              <w:pageBreakBefore w:val="0"/>
              <w:widowControl w:val="0"/>
              <w:kinsoku/>
              <w:wordWrap/>
              <w:overflowPunct/>
              <w:topLinePunct/>
              <w:autoSpaceDE w:val="0"/>
              <w:autoSpaceDN/>
              <w:bidi w:val="0"/>
              <w:adjustRightInd w:val="0"/>
              <w:snapToGrid w:val="0"/>
              <w:spacing w:line="400" w:lineRule="exact"/>
              <w:ind w:firstLine="440" w:firstLineChars="200"/>
              <w:jc w:val="both"/>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医务人员将严格遵守诊疗与操作规范，遵循最小必要原则，加强巡视观察，密切监测患者病情和身体状况，尽力防范和减少各类风险的发生，切实保障患者安全。特此告知。</w:t>
            </w:r>
          </w:p>
          <w:p w14:paraId="3D44542C">
            <w:pPr>
              <w:keepNext w:val="0"/>
              <w:keepLines w:val="0"/>
              <w:pageBreakBefore w:val="0"/>
              <w:widowControl w:val="0"/>
              <w:kinsoku/>
              <w:wordWrap/>
              <w:overflowPunct/>
              <w:topLinePunct/>
              <w:autoSpaceDE w:val="0"/>
              <w:autoSpaceDN/>
              <w:bidi w:val="0"/>
              <w:adjustRightInd w:val="0"/>
              <w:snapToGrid w:val="0"/>
              <w:spacing w:line="400" w:lineRule="exact"/>
              <w:ind w:firstLine="440" w:firstLineChars="200"/>
              <w:jc w:val="both"/>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四、患方知情同意</w:t>
            </w:r>
          </w:p>
          <w:p w14:paraId="02EF7A17">
            <w:pPr>
              <w:keepNext w:val="0"/>
              <w:keepLines w:val="0"/>
              <w:pageBreakBefore w:val="0"/>
              <w:widowControl w:val="0"/>
              <w:kinsoku/>
              <w:wordWrap/>
              <w:overflowPunct/>
              <w:topLinePunct/>
              <w:autoSpaceDE w:val="0"/>
              <w:autoSpaceDN/>
              <w:bidi w:val="0"/>
              <w:adjustRightInd w:val="0"/>
              <w:snapToGrid w:val="0"/>
              <w:spacing w:line="400" w:lineRule="exact"/>
              <w:ind w:firstLine="440" w:firstLineChars="200"/>
              <w:jc w:val="both"/>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我是患者的</w:t>
            </w:r>
            <w:r>
              <w:rPr>
                <w:rFonts w:hint="eastAsia" w:ascii="仿宋_GB2312" w:hAnsi="仿宋_GB2312" w:eastAsia="仿宋_GB2312" w:cs="仿宋_GB2312"/>
                <w:snapToGrid w:val="0"/>
                <w:color w:val="000000"/>
                <w:spacing w:val="0"/>
                <w:kern w:val="0"/>
                <w:sz w:val="22"/>
                <w:szCs w:val="22"/>
                <w:u w:val="single"/>
              </w:rPr>
              <w:t xml:space="preserve">      </w:t>
            </w:r>
            <w:r>
              <w:rPr>
                <w:rFonts w:hint="eastAsia" w:ascii="仿宋_GB2312" w:hAnsi="仿宋_GB2312" w:eastAsia="仿宋_GB2312" w:cs="仿宋_GB2312"/>
                <w:snapToGrid w:val="0"/>
                <w:color w:val="000000"/>
                <w:spacing w:val="0"/>
                <w:kern w:val="0"/>
                <w:sz w:val="22"/>
                <w:szCs w:val="22"/>
              </w:rPr>
              <w:t>（与患者关系），医务人员已就上述保护性医疗措施的必要性及可能存在的风险向我作了充分说明。我已充分知晓并理解上述内容，同意医方根据患者病情需要采取上述措施。</w:t>
            </w:r>
          </w:p>
          <w:p w14:paraId="48229D20">
            <w:pPr>
              <w:keepNext w:val="0"/>
              <w:keepLines w:val="0"/>
              <w:pageBreakBefore w:val="0"/>
              <w:widowControl w:val="0"/>
              <w:kinsoku/>
              <w:wordWrap/>
              <w:overflowPunct/>
              <w:topLinePunct/>
              <w:autoSpaceDE w:val="0"/>
              <w:autoSpaceDN/>
              <w:bidi w:val="0"/>
              <w:adjustRightInd w:val="0"/>
              <w:snapToGrid w:val="0"/>
              <w:spacing w:line="400" w:lineRule="exact"/>
              <w:ind w:firstLine="440" w:firstLineChars="200"/>
              <w:jc w:val="both"/>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患者监护人（或监护人授权的代理人）签字：</w:t>
            </w:r>
          </w:p>
          <w:p w14:paraId="03273E77">
            <w:pPr>
              <w:keepNext w:val="0"/>
              <w:keepLines w:val="0"/>
              <w:pageBreakBefore w:val="0"/>
              <w:widowControl w:val="0"/>
              <w:kinsoku/>
              <w:wordWrap/>
              <w:overflowPunct/>
              <w:topLinePunct/>
              <w:autoSpaceDE w:val="0"/>
              <w:autoSpaceDN/>
              <w:bidi w:val="0"/>
              <w:adjustRightInd w:val="0"/>
              <w:snapToGrid w:val="0"/>
              <w:spacing w:line="400" w:lineRule="exact"/>
              <w:ind w:firstLine="440" w:firstLineChars="200"/>
              <w:jc w:val="both"/>
              <w:textAlignment w:val="baseline"/>
              <w:rPr>
                <w:rFonts w:hint="eastAsia" w:ascii="仿宋_GB2312" w:hAnsi="仿宋_GB2312" w:eastAsia="仿宋_GB2312" w:cs="仿宋_GB2312"/>
                <w:snapToGrid w:val="0"/>
                <w:color w:val="000000"/>
                <w:spacing w:val="0"/>
                <w:kern w:val="0"/>
                <w:sz w:val="22"/>
                <w:szCs w:val="22"/>
              </w:rPr>
            </w:pPr>
          </w:p>
          <w:p w14:paraId="3D8AA13C">
            <w:pPr>
              <w:keepNext w:val="0"/>
              <w:keepLines w:val="0"/>
              <w:pageBreakBefore w:val="0"/>
              <w:widowControl w:val="0"/>
              <w:kinsoku/>
              <w:wordWrap/>
              <w:overflowPunct/>
              <w:topLinePunct/>
              <w:autoSpaceDE w:val="0"/>
              <w:autoSpaceDN/>
              <w:bidi w:val="0"/>
              <w:adjustRightInd w:val="0"/>
              <w:snapToGrid w:val="0"/>
              <w:spacing w:line="400" w:lineRule="exact"/>
              <w:ind w:firstLine="440" w:firstLineChars="200"/>
              <w:jc w:val="both"/>
              <w:textAlignment w:val="baseline"/>
              <w:rPr>
                <w:rFonts w:hint="eastAsia" w:ascii="仿宋_GB2312" w:hAnsi="仿宋_GB2312" w:eastAsia="仿宋_GB2312" w:cs="仿宋_GB2312"/>
                <w:snapToGrid w:val="0"/>
                <w:color w:val="000000"/>
                <w:spacing w:val="0"/>
                <w:kern w:val="0"/>
                <w:sz w:val="22"/>
                <w:szCs w:val="22"/>
                <w:lang w:eastAsia="en-US"/>
              </w:rPr>
            </w:pPr>
            <w:r>
              <w:rPr>
                <w:rFonts w:hint="eastAsia" w:ascii="仿宋_GB2312" w:hAnsi="仿宋_GB2312" w:eastAsia="仿宋_GB2312" w:cs="仿宋_GB2312"/>
                <w:snapToGrid w:val="0"/>
                <w:color w:val="000000"/>
                <w:spacing w:val="0"/>
                <w:kern w:val="0"/>
                <w:sz w:val="22"/>
                <w:szCs w:val="22"/>
                <w:lang w:eastAsia="en-US"/>
              </w:rPr>
              <w:t>医师签字：</w:t>
            </w:r>
          </w:p>
          <w:p w14:paraId="4DF3663F">
            <w:pPr>
              <w:keepNext w:val="0"/>
              <w:keepLines w:val="0"/>
              <w:pageBreakBefore w:val="0"/>
              <w:widowControl w:val="0"/>
              <w:kinsoku/>
              <w:wordWrap/>
              <w:overflowPunct/>
              <w:topLinePunct/>
              <w:autoSpaceDE w:val="0"/>
              <w:autoSpaceDN/>
              <w:bidi w:val="0"/>
              <w:adjustRightInd w:val="0"/>
              <w:snapToGrid w:val="0"/>
              <w:spacing w:line="400" w:lineRule="exact"/>
              <w:ind w:firstLine="440" w:firstLineChars="200"/>
              <w:jc w:val="both"/>
              <w:textAlignment w:val="baseline"/>
              <w:rPr>
                <w:rFonts w:hint="eastAsia" w:ascii="仿宋_GB2312" w:hAnsi="仿宋_GB2312" w:eastAsia="仿宋_GB2312" w:cs="仿宋_GB2312"/>
                <w:snapToGrid w:val="0"/>
                <w:color w:val="000000"/>
                <w:spacing w:val="0"/>
                <w:kern w:val="0"/>
                <w:sz w:val="22"/>
                <w:szCs w:val="22"/>
                <w:lang w:eastAsia="en-US"/>
              </w:rPr>
            </w:pPr>
            <w:r>
              <w:rPr>
                <w:rFonts w:hint="eastAsia" w:ascii="仿宋_GB2312" w:hAnsi="仿宋_GB2312" w:eastAsia="仿宋_GB2312" w:cs="仿宋_GB2312"/>
                <w:snapToGrid w:val="0"/>
                <w:color w:val="000000"/>
                <w:spacing w:val="0"/>
                <w:kern w:val="0"/>
                <w:sz w:val="22"/>
                <w:szCs w:val="22"/>
              </w:rPr>
              <w:t xml:space="preserve">    </w:t>
            </w:r>
            <w:r>
              <w:rPr>
                <w:rFonts w:hint="eastAsia" w:ascii="仿宋_GB2312" w:hAnsi="仿宋_GB2312" w:eastAsia="仿宋_GB2312" w:cs="仿宋_GB2312"/>
                <w:snapToGrid w:val="0"/>
                <w:color w:val="000000"/>
                <w:spacing w:val="0"/>
                <w:kern w:val="0"/>
                <w:sz w:val="22"/>
                <w:szCs w:val="22"/>
                <w:lang w:val="en-US" w:eastAsia="zh-CN"/>
              </w:rPr>
              <w:t xml:space="preserve">     </w:t>
            </w:r>
            <w:r>
              <w:rPr>
                <w:rFonts w:hint="eastAsia" w:ascii="仿宋_GB2312" w:hAnsi="仿宋_GB2312" w:eastAsia="仿宋_GB2312" w:cs="仿宋_GB2312"/>
                <w:snapToGrid w:val="0"/>
                <w:color w:val="000000"/>
                <w:spacing w:val="0"/>
                <w:kern w:val="0"/>
                <w:sz w:val="22"/>
                <w:szCs w:val="22"/>
                <w:lang w:eastAsia="en-US"/>
              </w:rPr>
              <w:t>年    月   日</w:t>
            </w:r>
          </w:p>
        </w:tc>
      </w:tr>
    </w:tbl>
    <w:p w14:paraId="1F44E7B4">
      <w:pPr>
        <w:pStyle w:val="9"/>
        <w:keepNext w:val="0"/>
        <w:keepLines w:val="0"/>
        <w:pageBreakBefore w:val="0"/>
        <w:widowControl w:val="0"/>
        <w:kinsoku/>
        <w:wordWrap/>
        <w:overflowPunct/>
        <w:topLinePunct w:val="0"/>
        <w:autoSpaceDE/>
        <w:autoSpaceDN/>
        <w:bidi w:val="0"/>
        <w:adjustRightInd/>
        <w:snapToGrid w:val="0"/>
        <w:spacing w:after="0"/>
        <w:textAlignment w:val="auto"/>
        <w:rPr>
          <w:rFonts w:hint="eastAsia" w:ascii="仿宋_GB2312" w:hAnsi="仿宋_GB2312" w:eastAsia="仿宋_GB2312" w:cs="仿宋_GB2312"/>
          <w:b/>
          <w:bCs/>
          <w:snapToGrid w:val="0"/>
          <w:spacing w:val="0"/>
          <w:kern w:val="0"/>
          <w:sz w:val="30"/>
          <w:szCs w:val="30"/>
        </w:rPr>
      </w:pPr>
    </w:p>
    <w:p w14:paraId="5D23E3D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kern w:val="0"/>
          <w:sz w:val="32"/>
          <w:szCs w:val="32"/>
        </w:rPr>
      </w:pPr>
      <w:r>
        <w:rPr>
          <w:rFonts w:hint="eastAsia" w:ascii="黑体" w:hAnsi="黑体" w:eastAsia="黑体" w:cs="黑体"/>
          <w:kern w:val="0"/>
          <w:sz w:val="32"/>
          <w:szCs w:val="32"/>
          <w:lang w:eastAsia="en-US"/>
        </w:rPr>
        <w:t>附</w:t>
      </w:r>
      <w:r>
        <w:rPr>
          <w:rFonts w:hint="eastAsia" w:ascii="Times New Roman" w:hAnsi="Times New Roman" w:eastAsia="黑体" w:cs="黑体"/>
          <w:kern w:val="0"/>
          <w:sz w:val="32"/>
          <w:szCs w:val="32"/>
        </w:rPr>
        <w:t>5</w:t>
      </w:r>
    </w:p>
    <w:p w14:paraId="49ABADED">
      <w:pPr>
        <w:keepNext w:val="0"/>
        <w:keepLines w:val="0"/>
        <w:pageBreakBefore w:val="0"/>
        <w:widowControl w:val="0"/>
        <w:kinsoku/>
        <w:wordWrap/>
        <w:overflowPunct/>
        <w:topLinePunct w:val="0"/>
        <w:autoSpaceDE/>
        <w:autoSpaceDN/>
        <w:bidi w:val="0"/>
        <w:adjustRightInd w:val="0"/>
        <w:snapToGrid w:val="0"/>
        <w:spacing w:before="157" w:beforeLines="50" w:line="240" w:lineRule="auto"/>
        <w:jc w:val="center"/>
        <w:textAlignment w:val="auto"/>
        <w:rPr>
          <w:rFonts w:hint="eastAsia" w:ascii="方正小标宋_GBK" w:hAnsi="方正小标宋_GBK" w:eastAsia="方正小标宋_GBK" w:cs="方正小标宋_GBK"/>
          <w:color w:val="000000" w:themeColor="text1"/>
          <w:spacing w:val="11"/>
          <w:sz w:val="40"/>
          <w:szCs w:val="40"/>
          <w:lang w:val="en-US" w:eastAsia="en-US"/>
          <w14:textFill>
            <w14:solidFill>
              <w14:schemeClr w14:val="tx1"/>
            </w14:solidFill>
          </w14:textFill>
        </w:rPr>
      </w:pPr>
      <w:r>
        <w:rPr>
          <w:rFonts w:hint="eastAsia" w:ascii="方正小标宋_GBK" w:hAnsi="方正小标宋_GBK" w:eastAsia="方正小标宋_GBK" w:cs="方正小标宋_GBK"/>
          <w:color w:val="000000" w:themeColor="text1"/>
          <w:spacing w:val="11"/>
          <w:sz w:val="40"/>
          <w:szCs w:val="40"/>
          <w:lang w:val="en-US" w:eastAsia="en-US"/>
          <w14:textFill>
            <w14:solidFill>
              <w14:schemeClr w14:val="tx1"/>
            </w14:solidFill>
          </w14:textFill>
        </w:rPr>
        <w:t>非自愿住院治疗</w:t>
      </w:r>
    </w:p>
    <w:p w14:paraId="2DC3D150">
      <w:pPr>
        <w:keepNext w:val="0"/>
        <w:keepLines w:val="0"/>
        <w:pageBreakBefore w:val="0"/>
        <w:widowControl w:val="0"/>
        <w:kinsoku/>
        <w:wordWrap/>
        <w:overflowPunct/>
        <w:topLinePunct w:val="0"/>
        <w:autoSpaceDE/>
        <w:autoSpaceDN/>
        <w:bidi w:val="0"/>
        <w:adjustRightInd w:val="0"/>
        <w:snapToGrid w:val="0"/>
        <w:spacing w:before="157" w:beforeLines="50" w:after="0" w:afterLines="-2147483648" w:line="240" w:lineRule="auto"/>
        <w:jc w:val="center"/>
        <w:textAlignment w:val="auto"/>
        <w:rPr>
          <w:rFonts w:hint="eastAsia" w:ascii="方正小标宋_GBK" w:hAnsi="方正小标宋_GBK" w:eastAsia="方正小标宋_GBK" w:cs="方正小标宋_GBK"/>
          <w:color w:val="000000" w:themeColor="text1"/>
          <w:spacing w:val="11"/>
          <w:sz w:val="40"/>
          <w:szCs w:val="40"/>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pacing w:val="11"/>
          <w:sz w:val="40"/>
          <w:szCs w:val="40"/>
          <w:lang w:val="en-US" w:eastAsia="zh-CN"/>
          <w14:textFill>
            <w14:solidFill>
              <w14:schemeClr w14:val="tx1"/>
            </w14:solidFill>
          </w14:textFill>
        </w:rPr>
        <w:t>患者监护人或监护人授权代理人的声明</w:t>
      </w:r>
    </w:p>
    <w:tbl>
      <w:tblPr>
        <w:tblStyle w:val="82"/>
        <w:tblW w:w="9322" w:type="dxa"/>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57" w:type="dxa"/>
          <w:bottom w:w="0" w:type="dxa"/>
          <w:right w:w="57" w:type="dxa"/>
        </w:tblCellMar>
      </w:tblPr>
      <w:tblGrid>
        <w:gridCol w:w="9322"/>
      </w:tblGrid>
      <w:tr w14:paraId="38E9A9A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57" w:type="dxa"/>
            <w:bottom w:w="0" w:type="dxa"/>
            <w:right w:w="57" w:type="dxa"/>
          </w:tblCellMar>
        </w:tblPrEx>
        <w:trPr>
          <w:trHeight w:val="5613" w:hRule="atLeast"/>
          <w:jc w:val="center"/>
        </w:trPr>
        <w:tc>
          <w:tcPr>
            <w:tcW w:w="9322" w:type="dxa"/>
            <w:vAlign w:val="center"/>
          </w:tcPr>
          <w:p w14:paraId="02B4F8C9">
            <w:pPr>
              <w:keepNext w:val="0"/>
              <w:keepLines w:val="0"/>
              <w:pageBreakBefore w:val="0"/>
              <w:widowControl w:val="0"/>
              <w:kinsoku/>
              <w:wordWrap/>
              <w:overflowPunct/>
              <w:topLinePunct/>
              <w:autoSpaceDE w:val="0"/>
              <w:autoSpaceDN/>
              <w:bidi w:val="0"/>
              <w:adjustRightInd w:val="0"/>
              <w:snapToGrid w:val="0"/>
              <w:spacing w:line="400" w:lineRule="exact"/>
              <w:ind w:left="0" w:leftChars="0"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我是患者</w:t>
            </w:r>
            <w:r>
              <w:rPr>
                <w:rFonts w:hint="eastAsia" w:ascii="仿宋_GB2312" w:hAnsi="仿宋_GB2312" w:eastAsia="仿宋_GB2312" w:cs="仿宋_GB2312"/>
                <w:snapToGrid w:val="0"/>
                <w:color w:val="000000"/>
                <w:spacing w:val="0"/>
                <w:kern w:val="0"/>
                <w:sz w:val="22"/>
                <w:szCs w:val="22"/>
                <w:u w:val="single"/>
              </w:rPr>
              <w:t xml:space="preserve">   </w:t>
            </w:r>
            <w:r>
              <w:rPr>
                <w:rFonts w:hint="eastAsia" w:ascii="仿宋_GB2312" w:hAnsi="仿宋_GB2312" w:eastAsia="仿宋_GB2312" w:cs="仿宋_GB2312"/>
                <w:snapToGrid w:val="0"/>
                <w:color w:val="000000"/>
                <w:spacing w:val="0"/>
                <w:kern w:val="0"/>
                <w:sz w:val="22"/>
                <w:szCs w:val="22"/>
                <w:u w:val="single"/>
                <w:lang w:val="en-US" w:eastAsia="zh-CN"/>
              </w:rPr>
              <w:t xml:space="preserve"> </w:t>
            </w:r>
            <w:r>
              <w:rPr>
                <w:rFonts w:hint="eastAsia" w:ascii="仿宋_GB2312" w:hAnsi="仿宋_GB2312" w:eastAsia="仿宋_GB2312" w:cs="仿宋_GB2312"/>
                <w:snapToGrid w:val="0"/>
                <w:color w:val="000000"/>
                <w:spacing w:val="0"/>
                <w:kern w:val="0"/>
                <w:sz w:val="22"/>
                <w:szCs w:val="22"/>
                <w:u w:val="single"/>
              </w:rPr>
              <w:t xml:space="preserve">  </w:t>
            </w:r>
            <w:r>
              <w:rPr>
                <w:rFonts w:hint="eastAsia" w:ascii="仿宋_GB2312" w:hAnsi="仿宋_GB2312" w:eastAsia="仿宋_GB2312" w:cs="仿宋_GB2312"/>
                <w:snapToGrid w:val="0"/>
                <w:color w:val="000000"/>
                <w:spacing w:val="0"/>
                <w:kern w:val="0"/>
                <w:sz w:val="22"/>
                <w:szCs w:val="22"/>
                <w:u w:val="single"/>
                <w:lang w:val="en-US" w:eastAsia="zh-CN"/>
              </w:rPr>
              <w:t xml:space="preserve">   </w:t>
            </w:r>
            <w:r>
              <w:rPr>
                <w:rFonts w:hint="eastAsia" w:ascii="仿宋_GB2312" w:hAnsi="仿宋_GB2312" w:eastAsia="仿宋_GB2312" w:cs="仿宋_GB2312"/>
                <w:snapToGrid w:val="0"/>
                <w:color w:val="000000"/>
                <w:spacing w:val="0"/>
                <w:kern w:val="0"/>
                <w:sz w:val="22"/>
                <w:szCs w:val="22"/>
              </w:rPr>
              <w:t>的□监护人  □监护人授权的代理人。我同意该患者在</w:t>
            </w:r>
            <w:r>
              <w:rPr>
                <w:rFonts w:hint="eastAsia" w:ascii="仿宋_GB2312" w:hAnsi="仿宋_GB2312" w:eastAsia="仿宋_GB2312" w:cs="仿宋_GB2312"/>
                <w:snapToGrid w:val="0"/>
                <w:color w:val="000000"/>
                <w:spacing w:val="0"/>
                <w:kern w:val="0"/>
                <w:sz w:val="22"/>
                <w:szCs w:val="22"/>
                <w:lang w:val="en-US" w:eastAsia="zh-CN"/>
              </w:rPr>
              <w:t>贵</w:t>
            </w:r>
            <w:r>
              <w:rPr>
                <w:rFonts w:hint="eastAsia" w:ascii="仿宋_GB2312" w:hAnsi="仿宋_GB2312" w:eastAsia="仿宋_GB2312" w:cs="仿宋_GB2312"/>
                <w:snapToGrid w:val="0"/>
                <w:color w:val="000000"/>
                <w:spacing w:val="0"/>
                <w:kern w:val="0"/>
                <w:sz w:val="22"/>
                <w:szCs w:val="22"/>
              </w:rPr>
              <w:t>院进行非自愿住院治疗，特此声明如下：</w:t>
            </w:r>
          </w:p>
          <w:p w14:paraId="0838E465">
            <w:pPr>
              <w:keepNext w:val="0"/>
              <w:keepLines w:val="0"/>
              <w:pageBreakBefore w:val="0"/>
              <w:widowControl w:val="0"/>
              <w:kinsoku/>
              <w:wordWrap/>
              <w:overflowPunct/>
              <w:topLinePunct/>
              <w:autoSpaceDE w:val="0"/>
              <w:autoSpaceDN/>
              <w:bidi w:val="0"/>
              <w:adjustRightInd w:val="0"/>
              <w:snapToGrid w:val="0"/>
              <w:spacing w:line="400" w:lineRule="exact"/>
              <w:ind w:left="0" w:leftChars="0"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Times New Roman" w:hAnsi="Times New Roman" w:eastAsia="仿宋_GB2312" w:cs="仿宋_GB2312"/>
                <w:snapToGrid w:val="0"/>
                <w:color w:val="000000"/>
                <w:spacing w:val="0"/>
                <w:kern w:val="0"/>
                <w:sz w:val="22"/>
                <w:szCs w:val="22"/>
              </w:rPr>
              <w:t>1</w:t>
            </w:r>
            <w:r>
              <w:rPr>
                <w:rFonts w:hint="eastAsia" w:ascii="仿宋_GB2312" w:hAnsi="仿宋_GB2312" w:eastAsia="仿宋_GB2312" w:cs="仿宋_GB2312"/>
                <w:snapToGrid w:val="0"/>
                <w:color w:val="000000"/>
                <w:spacing w:val="0"/>
                <w:kern w:val="0"/>
                <w:sz w:val="22"/>
                <w:szCs w:val="22"/>
              </w:rPr>
              <w:t>.我承诺履行法律法规</w:t>
            </w:r>
            <w:r>
              <w:rPr>
                <w:rFonts w:hint="eastAsia" w:ascii="仿宋_GB2312" w:hAnsi="仿宋_GB2312" w:eastAsia="仿宋_GB2312" w:cs="仿宋_GB2312"/>
                <w:snapToGrid w:val="0"/>
                <w:color w:val="000000"/>
                <w:spacing w:val="0"/>
                <w:kern w:val="0"/>
                <w:sz w:val="22"/>
                <w:szCs w:val="22"/>
                <w:lang w:val="en-US" w:eastAsia="zh-CN"/>
              </w:rPr>
              <w:t>规定的</w:t>
            </w:r>
            <w:r>
              <w:rPr>
                <w:rFonts w:hint="eastAsia" w:ascii="仿宋_GB2312" w:hAnsi="仿宋_GB2312" w:eastAsia="仿宋_GB2312" w:cs="仿宋_GB2312"/>
                <w:snapToGrid w:val="0"/>
                <w:color w:val="000000"/>
                <w:spacing w:val="0"/>
                <w:kern w:val="0"/>
                <w:sz w:val="22"/>
                <w:szCs w:val="22"/>
              </w:rPr>
              <w:t>作为患者监护人的相关职责。</w:t>
            </w:r>
          </w:p>
          <w:p w14:paraId="40DF2393">
            <w:pPr>
              <w:keepNext w:val="0"/>
              <w:keepLines w:val="0"/>
              <w:pageBreakBefore w:val="0"/>
              <w:widowControl w:val="0"/>
              <w:kinsoku/>
              <w:wordWrap/>
              <w:overflowPunct/>
              <w:topLinePunct/>
              <w:autoSpaceDE w:val="0"/>
              <w:autoSpaceDN/>
              <w:bidi w:val="0"/>
              <w:adjustRightInd w:val="0"/>
              <w:snapToGrid w:val="0"/>
              <w:spacing w:line="400" w:lineRule="exact"/>
              <w:ind w:left="0" w:leftChars="0"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Times New Roman" w:hAnsi="Times New Roman" w:eastAsia="仿宋_GB2312" w:cs="仿宋_GB2312"/>
                <w:snapToGrid w:val="0"/>
                <w:color w:val="000000"/>
                <w:spacing w:val="0"/>
                <w:kern w:val="0"/>
                <w:sz w:val="22"/>
                <w:szCs w:val="22"/>
              </w:rPr>
              <w:t>2</w:t>
            </w:r>
            <w:r>
              <w:rPr>
                <w:rFonts w:hint="eastAsia" w:ascii="仿宋_GB2312" w:hAnsi="仿宋_GB2312" w:eastAsia="仿宋_GB2312" w:cs="仿宋_GB2312"/>
                <w:snapToGrid w:val="0"/>
                <w:color w:val="000000"/>
                <w:spacing w:val="0"/>
                <w:kern w:val="0"/>
                <w:sz w:val="22"/>
                <w:szCs w:val="22"/>
              </w:rPr>
              <w:t>.我要求医务人员与我共同遵守《中华人民共和国精神卫生法》及国家其他有关法律法规，并共同</w:t>
            </w:r>
          </w:p>
          <w:p w14:paraId="37C3AA41">
            <w:pPr>
              <w:keepNext w:val="0"/>
              <w:keepLines w:val="0"/>
              <w:pageBreakBefore w:val="0"/>
              <w:widowControl w:val="0"/>
              <w:kinsoku/>
              <w:wordWrap/>
              <w:overflowPunct/>
              <w:topLinePunct/>
              <w:autoSpaceDE w:val="0"/>
              <w:autoSpaceDN/>
              <w:bidi w:val="0"/>
              <w:adjustRightInd w:val="0"/>
              <w:snapToGrid w:val="0"/>
              <w:spacing w:line="400" w:lineRule="exact"/>
              <w:ind w:left="0" w:leftChars="0"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维护患者的合法权益。</w:t>
            </w:r>
          </w:p>
          <w:p w14:paraId="6F1405DE">
            <w:pPr>
              <w:keepNext w:val="0"/>
              <w:keepLines w:val="0"/>
              <w:pageBreakBefore w:val="0"/>
              <w:widowControl w:val="0"/>
              <w:kinsoku/>
              <w:wordWrap/>
              <w:overflowPunct/>
              <w:topLinePunct/>
              <w:autoSpaceDE w:val="0"/>
              <w:autoSpaceDN/>
              <w:bidi w:val="0"/>
              <w:adjustRightInd w:val="0"/>
              <w:snapToGrid w:val="0"/>
              <w:spacing w:line="400" w:lineRule="exact"/>
              <w:ind w:left="0" w:leftChars="0"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Times New Roman" w:hAnsi="Times New Roman" w:eastAsia="仿宋_GB2312" w:cs="仿宋_GB2312"/>
                <w:snapToGrid w:val="0"/>
                <w:color w:val="000000"/>
                <w:spacing w:val="0"/>
                <w:kern w:val="0"/>
                <w:sz w:val="22"/>
                <w:szCs w:val="22"/>
              </w:rPr>
              <w:t>3</w:t>
            </w:r>
            <w:r>
              <w:rPr>
                <w:rFonts w:hint="eastAsia" w:ascii="仿宋_GB2312" w:hAnsi="仿宋_GB2312" w:eastAsia="仿宋_GB2312" w:cs="仿宋_GB2312"/>
                <w:snapToGrid w:val="0"/>
                <w:color w:val="000000"/>
                <w:spacing w:val="0"/>
                <w:kern w:val="0"/>
                <w:sz w:val="22"/>
                <w:szCs w:val="22"/>
              </w:rPr>
              <w:t>.当我接到医院通知，前来接经过医院定期评估确认可以出院的患者，我承诺遵守《中华人民共和国精神卫生法》及卫生行政管理部门有关配套文件的规定，在接到通知后，前来医院办理出院手续。</w:t>
            </w:r>
          </w:p>
          <w:p w14:paraId="223B821C">
            <w:pPr>
              <w:keepNext w:val="0"/>
              <w:keepLines w:val="0"/>
              <w:pageBreakBefore w:val="0"/>
              <w:widowControl w:val="0"/>
              <w:kinsoku/>
              <w:wordWrap/>
              <w:overflowPunct/>
              <w:topLinePunct/>
              <w:autoSpaceDE w:val="0"/>
              <w:autoSpaceDN/>
              <w:bidi w:val="0"/>
              <w:adjustRightInd w:val="0"/>
              <w:snapToGrid w:val="0"/>
              <w:spacing w:line="400" w:lineRule="exact"/>
              <w:ind w:left="0" w:leftChars="0"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Times New Roman" w:hAnsi="Times New Roman" w:eastAsia="仿宋_GB2312" w:cs="仿宋_GB2312"/>
                <w:snapToGrid w:val="0"/>
                <w:color w:val="000000"/>
                <w:spacing w:val="0"/>
                <w:kern w:val="0"/>
                <w:sz w:val="22"/>
                <w:szCs w:val="22"/>
              </w:rPr>
              <w:t>4</w:t>
            </w:r>
            <w:r>
              <w:rPr>
                <w:rFonts w:hint="eastAsia" w:ascii="仿宋_GB2312" w:hAnsi="仿宋_GB2312" w:eastAsia="仿宋_GB2312" w:cs="仿宋_GB2312"/>
                <w:snapToGrid w:val="0"/>
                <w:color w:val="000000"/>
                <w:spacing w:val="0"/>
                <w:kern w:val="0"/>
                <w:sz w:val="22"/>
                <w:szCs w:val="22"/>
              </w:rPr>
              <w:t>.我同意与医院约定，如果我拒绝接符合出院标准的患者出院，医院将按照《中华人民共和国精神卫生法》的有关规定，让具有能力办理出院手续的患者自己办理出院；或者由医院将患者送回家中，往返车费及护送人员工时费等由监护人或近亲属支付。</w:t>
            </w:r>
          </w:p>
          <w:p w14:paraId="0465764C">
            <w:pPr>
              <w:keepNext w:val="0"/>
              <w:keepLines w:val="0"/>
              <w:pageBreakBefore w:val="0"/>
              <w:widowControl w:val="0"/>
              <w:kinsoku/>
              <w:wordWrap/>
              <w:overflowPunct/>
              <w:topLinePunct/>
              <w:autoSpaceDE w:val="0"/>
              <w:autoSpaceDN/>
              <w:bidi w:val="0"/>
              <w:adjustRightInd w:val="0"/>
              <w:snapToGrid w:val="0"/>
              <w:spacing w:line="400" w:lineRule="exact"/>
              <w:ind w:left="0" w:leftChars="0"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Times New Roman" w:hAnsi="Times New Roman" w:eastAsia="仿宋_GB2312" w:cs="仿宋_GB2312"/>
                <w:snapToGrid w:val="0"/>
                <w:color w:val="000000"/>
                <w:spacing w:val="0"/>
                <w:kern w:val="0"/>
                <w:sz w:val="22"/>
                <w:szCs w:val="22"/>
              </w:rPr>
              <w:t>5</w:t>
            </w:r>
            <w:r>
              <w:rPr>
                <w:rFonts w:hint="eastAsia" w:ascii="仿宋_GB2312" w:hAnsi="仿宋_GB2312" w:eastAsia="仿宋_GB2312" w:cs="仿宋_GB2312"/>
                <w:snapToGrid w:val="0"/>
                <w:color w:val="000000"/>
                <w:spacing w:val="0"/>
                <w:kern w:val="0"/>
                <w:sz w:val="22"/>
                <w:szCs w:val="22"/>
              </w:rPr>
              <w:t>.我知道，如果我拒绝接符合出院标准的患者出院，属于违反《中华人民共和国精神卫生法》和国家有关法律法规规定的监护职责的行为。</w:t>
            </w:r>
          </w:p>
          <w:p w14:paraId="3DE0018B">
            <w:pPr>
              <w:keepNext w:val="0"/>
              <w:keepLines w:val="0"/>
              <w:pageBreakBefore w:val="0"/>
              <w:widowControl w:val="0"/>
              <w:kinsoku/>
              <w:wordWrap/>
              <w:overflowPunct/>
              <w:topLinePunct/>
              <w:autoSpaceDE w:val="0"/>
              <w:autoSpaceDN/>
              <w:bidi w:val="0"/>
              <w:adjustRightInd w:val="0"/>
              <w:snapToGrid w:val="0"/>
              <w:spacing w:line="400" w:lineRule="exact"/>
              <w:ind w:left="0" w:leftChars="0"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Times New Roman" w:hAnsi="Times New Roman" w:eastAsia="仿宋_GB2312" w:cs="仿宋_GB2312"/>
                <w:snapToGrid w:val="0"/>
                <w:color w:val="000000"/>
                <w:spacing w:val="0"/>
                <w:kern w:val="0"/>
                <w:sz w:val="22"/>
                <w:szCs w:val="22"/>
              </w:rPr>
              <w:t>6</w:t>
            </w:r>
            <w:r>
              <w:rPr>
                <w:rFonts w:hint="eastAsia" w:ascii="仿宋_GB2312" w:hAnsi="仿宋_GB2312" w:eastAsia="仿宋_GB2312" w:cs="仿宋_GB2312"/>
                <w:snapToGrid w:val="0"/>
                <w:color w:val="000000"/>
                <w:spacing w:val="0"/>
                <w:kern w:val="0"/>
                <w:sz w:val="22"/>
                <w:szCs w:val="22"/>
              </w:rPr>
              <w:t>.如果医生认为患者不宜出院，且已经向我说明理由，我仍然决定接患者出院，属于自动出院，我将签署自动出院的声明。我知道医生会将告知的内容和过程记录在病历上，并提出出院后的医学建议，由我签字确认。</w:t>
            </w:r>
          </w:p>
          <w:p w14:paraId="68EAB358">
            <w:pPr>
              <w:keepNext w:val="0"/>
              <w:keepLines w:val="0"/>
              <w:pageBreakBefore w:val="0"/>
              <w:widowControl w:val="0"/>
              <w:kinsoku/>
              <w:wordWrap/>
              <w:overflowPunct/>
              <w:topLinePunct/>
              <w:autoSpaceDE w:val="0"/>
              <w:autoSpaceDN/>
              <w:bidi w:val="0"/>
              <w:adjustRightInd w:val="0"/>
              <w:snapToGrid w:val="0"/>
              <w:spacing w:line="400" w:lineRule="exact"/>
              <w:ind w:left="0" w:leftChars="0"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Times New Roman" w:hAnsi="Times New Roman" w:eastAsia="仿宋_GB2312" w:cs="仿宋_GB2312"/>
                <w:snapToGrid w:val="0"/>
                <w:color w:val="000000"/>
                <w:spacing w:val="0"/>
                <w:kern w:val="0"/>
                <w:sz w:val="22"/>
                <w:szCs w:val="22"/>
              </w:rPr>
              <w:t>7</w:t>
            </w:r>
            <w:r>
              <w:rPr>
                <w:rFonts w:hint="eastAsia" w:ascii="仿宋_GB2312" w:hAnsi="仿宋_GB2312" w:eastAsia="仿宋_GB2312" w:cs="仿宋_GB2312"/>
                <w:snapToGrid w:val="0"/>
                <w:color w:val="000000"/>
                <w:spacing w:val="0"/>
                <w:kern w:val="0"/>
                <w:sz w:val="22"/>
                <w:szCs w:val="22"/>
              </w:rPr>
              <w:t>.我声明，如果我对患者出院事宜以及其他相关事宜存在异议和争议，将按照《中华人民共和国精神卫生法》第八十二条的规定，依法提起诉讼。</w:t>
            </w:r>
          </w:p>
          <w:p w14:paraId="52282C38">
            <w:pPr>
              <w:keepNext w:val="0"/>
              <w:keepLines w:val="0"/>
              <w:pageBreakBefore w:val="0"/>
              <w:widowControl w:val="0"/>
              <w:kinsoku/>
              <w:wordWrap/>
              <w:overflowPunct/>
              <w:topLinePunct/>
              <w:autoSpaceDE w:val="0"/>
              <w:autoSpaceDN/>
              <w:bidi w:val="0"/>
              <w:adjustRightInd w:val="0"/>
              <w:snapToGrid w:val="0"/>
              <w:spacing w:line="400" w:lineRule="exact"/>
              <w:ind w:left="0" w:leftChars="0"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Times New Roman" w:hAnsi="Times New Roman" w:eastAsia="仿宋_GB2312" w:cs="仿宋_GB2312"/>
                <w:snapToGrid w:val="0"/>
                <w:color w:val="000000"/>
                <w:spacing w:val="0"/>
                <w:kern w:val="0"/>
                <w:sz w:val="22"/>
                <w:szCs w:val="22"/>
              </w:rPr>
              <w:t>8</w:t>
            </w:r>
            <w:r>
              <w:rPr>
                <w:rFonts w:hint="eastAsia" w:ascii="仿宋_GB2312" w:hAnsi="仿宋_GB2312" w:eastAsia="仿宋_GB2312" w:cs="仿宋_GB2312"/>
                <w:snapToGrid w:val="0"/>
                <w:color w:val="000000"/>
                <w:spacing w:val="0"/>
                <w:kern w:val="0"/>
                <w:sz w:val="22"/>
                <w:szCs w:val="22"/>
              </w:rPr>
              <w:t>.我已经被告知，如果我不依照法律的规定处理异议和争议，医院也将依照法律的规定来处理异议和争议。</w:t>
            </w:r>
          </w:p>
          <w:p w14:paraId="4A531A66">
            <w:pPr>
              <w:keepNext w:val="0"/>
              <w:keepLines w:val="0"/>
              <w:pageBreakBefore w:val="0"/>
              <w:widowControl w:val="0"/>
              <w:kinsoku/>
              <w:wordWrap/>
              <w:overflowPunct/>
              <w:topLinePunct/>
              <w:autoSpaceDE w:val="0"/>
              <w:autoSpaceDN/>
              <w:bidi w:val="0"/>
              <w:adjustRightInd w:val="0"/>
              <w:snapToGrid w:val="0"/>
              <w:spacing w:line="400" w:lineRule="exact"/>
              <w:ind w:left="0" w:leftChars="0"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Times New Roman" w:hAnsi="Times New Roman" w:eastAsia="仿宋_GB2312" w:cs="仿宋_GB2312"/>
                <w:snapToGrid w:val="0"/>
                <w:color w:val="000000"/>
                <w:spacing w:val="0"/>
                <w:kern w:val="0"/>
                <w:sz w:val="22"/>
                <w:szCs w:val="22"/>
              </w:rPr>
              <w:t>9</w:t>
            </w:r>
            <w:r>
              <w:rPr>
                <w:rFonts w:hint="eastAsia" w:ascii="仿宋_GB2312" w:hAnsi="仿宋_GB2312" w:eastAsia="仿宋_GB2312" w:cs="仿宋_GB2312"/>
                <w:snapToGrid w:val="0"/>
                <w:color w:val="000000"/>
                <w:spacing w:val="0"/>
                <w:kern w:val="0"/>
                <w:sz w:val="22"/>
                <w:szCs w:val="22"/>
              </w:rPr>
              <w:t>.我已知道，经过我签署的这份声明将由医院保存，并可能作为诉讼依据。</w:t>
            </w:r>
          </w:p>
          <w:p w14:paraId="56D3D748">
            <w:pPr>
              <w:keepNext w:val="0"/>
              <w:keepLines w:val="0"/>
              <w:pageBreakBefore w:val="0"/>
              <w:widowControl w:val="0"/>
              <w:kinsoku/>
              <w:wordWrap/>
              <w:overflowPunct/>
              <w:topLinePunct/>
              <w:autoSpaceDE w:val="0"/>
              <w:autoSpaceDN/>
              <w:bidi w:val="0"/>
              <w:adjustRightInd w:val="0"/>
              <w:snapToGrid w:val="0"/>
              <w:spacing w:line="400" w:lineRule="exact"/>
              <w:ind w:left="0" w:leftChars="0" w:firstLine="440" w:firstLineChars="200"/>
              <w:textAlignment w:val="baseline"/>
              <w:rPr>
                <w:rFonts w:hint="eastAsia" w:ascii="仿宋_GB2312" w:hAnsi="仿宋_GB2312" w:eastAsia="仿宋_GB2312" w:cs="仿宋_GB2312"/>
                <w:snapToGrid w:val="0"/>
                <w:color w:val="000000"/>
                <w:spacing w:val="0"/>
                <w:kern w:val="0"/>
                <w:sz w:val="22"/>
                <w:szCs w:val="22"/>
              </w:rPr>
            </w:pPr>
          </w:p>
          <w:p w14:paraId="1D212A29">
            <w:pPr>
              <w:keepNext w:val="0"/>
              <w:keepLines w:val="0"/>
              <w:pageBreakBefore w:val="0"/>
              <w:widowControl w:val="0"/>
              <w:kinsoku/>
              <w:wordWrap/>
              <w:overflowPunct/>
              <w:topLinePunct/>
              <w:autoSpaceDE w:val="0"/>
              <w:autoSpaceDN/>
              <w:bidi w:val="0"/>
              <w:adjustRightInd w:val="0"/>
              <w:snapToGrid w:val="0"/>
              <w:spacing w:line="400" w:lineRule="exact"/>
              <w:ind w:left="0" w:leftChars="0" w:firstLine="4400" w:firstLineChars="2000"/>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患者监护人签字：</w:t>
            </w:r>
          </w:p>
          <w:p w14:paraId="7148F883">
            <w:pPr>
              <w:keepNext w:val="0"/>
              <w:keepLines w:val="0"/>
              <w:pageBreakBefore w:val="0"/>
              <w:widowControl w:val="0"/>
              <w:kinsoku/>
              <w:wordWrap/>
              <w:overflowPunct/>
              <w:topLinePunct/>
              <w:autoSpaceDE w:val="0"/>
              <w:autoSpaceDN/>
              <w:bidi w:val="0"/>
              <w:adjustRightInd w:val="0"/>
              <w:snapToGrid w:val="0"/>
              <w:spacing w:line="400" w:lineRule="exact"/>
              <w:ind w:left="0" w:leftChars="0" w:firstLine="4400" w:firstLineChars="2000"/>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患者监护人授权的代理人签字：</w:t>
            </w:r>
          </w:p>
          <w:p w14:paraId="5F0C2F59">
            <w:pPr>
              <w:keepNext w:val="0"/>
              <w:keepLines w:val="0"/>
              <w:pageBreakBefore w:val="0"/>
              <w:widowControl w:val="0"/>
              <w:kinsoku/>
              <w:wordWrap/>
              <w:overflowPunct/>
              <w:topLinePunct/>
              <w:autoSpaceDE w:val="0"/>
              <w:autoSpaceDN/>
              <w:bidi w:val="0"/>
              <w:adjustRightInd w:val="0"/>
              <w:snapToGrid w:val="0"/>
              <w:spacing w:line="400" w:lineRule="exact"/>
              <w:ind w:left="0" w:leftChars="0" w:firstLine="4400" w:firstLineChars="2000"/>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与患者的关系：</w:t>
            </w:r>
          </w:p>
          <w:p w14:paraId="78C457AE">
            <w:pPr>
              <w:keepNext w:val="0"/>
              <w:keepLines w:val="0"/>
              <w:pageBreakBefore w:val="0"/>
              <w:widowControl w:val="0"/>
              <w:kinsoku/>
              <w:wordWrap/>
              <w:overflowPunct/>
              <w:topLinePunct/>
              <w:autoSpaceDE w:val="0"/>
              <w:autoSpaceDN/>
              <w:bidi w:val="0"/>
              <w:adjustRightInd w:val="0"/>
              <w:snapToGrid w:val="0"/>
              <w:spacing w:line="400" w:lineRule="exact"/>
              <w:ind w:firstLine="4400" w:firstLineChars="2000"/>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日期：       年     月     日</w:t>
            </w:r>
          </w:p>
        </w:tc>
      </w:tr>
    </w:tbl>
    <w:p w14:paraId="290A44D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kern w:val="0"/>
          <w:sz w:val="32"/>
          <w:szCs w:val="32"/>
          <w:lang w:eastAsia="en-US"/>
        </w:rPr>
      </w:pPr>
      <w:r>
        <w:rPr>
          <w:rFonts w:hint="eastAsia" w:ascii="黑体" w:hAnsi="黑体" w:eastAsia="黑体" w:cs="黑体"/>
          <w:kern w:val="0"/>
          <w:sz w:val="32"/>
          <w:szCs w:val="32"/>
          <w:lang w:eastAsia="en-US"/>
        </w:rPr>
        <w:t>附</w:t>
      </w:r>
      <w:r>
        <w:rPr>
          <w:rFonts w:hint="eastAsia" w:ascii="Times New Roman" w:hAnsi="Times New Roman" w:eastAsia="黑体" w:cs="黑体"/>
          <w:kern w:val="0"/>
          <w:sz w:val="32"/>
          <w:szCs w:val="32"/>
          <w:lang w:eastAsia="en-US"/>
        </w:rPr>
        <w:t>6</w:t>
      </w:r>
    </w:p>
    <w:p w14:paraId="0EE623AF">
      <w:pPr>
        <w:keepNext w:val="0"/>
        <w:keepLines w:val="0"/>
        <w:pageBreakBefore w:val="0"/>
        <w:widowControl w:val="0"/>
        <w:kinsoku/>
        <w:wordWrap/>
        <w:overflowPunct/>
        <w:topLinePunct w:val="0"/>
        <w:autoSpaceDE/>
        <w:autoSpaceDN/>
        <w:bidi w:val="0"/>
        <w:adjustRightInd w:val="0"/>
        <w:snapToGrid w:val="0"/>
        <w:spacing w:before="157" w:beforeLines="50" w:after="95" w:afterLines="30" w:line="240" w:lineRule="auto"/>
        <w:jc w:val="center"/>
        <w:textAlignment w:val="auto"/>
        <w:rPr>
          <w:rFonts w:hint="eastAsia" w:ascii="方正小标宋_GBK" w:hAnsi="方正小标宋_GBK" w:eastAsia="方正小标宋_GBK" w:cs="方正小标宋_GBK"/>
          <w:color w:val="000000" w:themeColor="text1"/>
          <w:spacing w:val="11"/>
          <w:sz w:val="40"/>
          <w:szCs w:val="40"/>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pacing w:val="11"/>
          <w:sz w:val="40"/>
          <w:szCs w:val="40"/>
          <w:lang w:val="en-US" w:eastAsia="zh-CN"/>
          <w14:textFill>
            <w14:solidFill>
              <w14:schemeClr w14:val="tx1"/>
            </w14:solidFill>
          </w14:textFill>
        </w:rPr>
        <w:t>保护性约束知情同意书</w:t>
      </w:r>
    </w:p>
    <w:tbl>
      <w:tblPr>
        <w:tblStyle w:val="82"/>
        <w:tblW w:w="92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1203"/>
        <w:gridCol w:w="1247"/>
        <w:gridCol w:w="826"/>
        <w:gridCol w:w="877"/>
        <w:gridCol w:w="724"/>
        <w:gridCol w:w="1045"/>
        <w:gridCol w:w="961"/>
        <w:gridCol w:w="2415"/>
      </w:tblGrid>
      <w:tr w14:paraId="2A32F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1203" w:type="dxa"/>
            <w:vAlign w:val="center"/>
          </w:tcPr>
          <w:p w14:paraId="48300AC0">
            <w:pPr>
              <w:keepNext w:val="0"/>
              <w:keepLines w:val="0"/>
              <w:pageBreakBefore w:val="0"/>
              <w:widowControl w:val="0"/>
              <w:kinsoku/>
              <w:wordWrap/>
              <w:overflowPunct/>
              <w:topLinePunct/>
              <w:autoSpaceDE w:val="0"/>
              <w:autoSpaceDN w:val="0"/>
              <w:bidi w:val="0"/>
              <w:adjustRightInd w:val="0"/>
              <w:snapToGrid w:val="0"/>
              <w:spacing w:line="420" w:lineRule="exact"/>
              <w:jc w:val="center"/>
              <w:textAlignment w:val="baseline"/>
              <w:rPr>
                <w:rFonts w:hint="eastAsia" w:ascii="仿宋_GB2312" w:hAnsi="仿宋_GB2312" w:eastAsia="仿宋_GB2312" w:cs="仿宋_GB2312"/>
                <w:snapToGrid w:val="0"/>
                <w:color w:val="000000"/>
                <w:spacing w:val="0"/>
                <w:kern w:val="0"/>
                <w:sz w:val="22"/>
                <w:szCs w:val="22"/>
                <w:lang w:eastAsia="en-US"/>
              </w:rPr>
            </w:pPr>
            <w:r>
              <w:rPr>
                <w:rFonts w:hint="eastAsia" w:ascii="仿宋_GB2312" w:hAnsi="仿宋_GB2312" w:eastAsia="仿宋_GB2312" w:cs="仿宋_GB2312"/>
                <w:snapToGrid w:val="0"/>
                <w:color w:val="000000"/>
                <w:spacing w:val="0"/>
                <w:kern w:val="0"/>
                <w:sz w:val="22"/>
                <w:szCs w:val="22"/>
                <w:lang w:eastAsia="en-US"/>
              </w:rPr>
              <w:t>患者姓名</w:t>
            </w:r>
          </w:p>
        </w:tc>
        <w:tc>
          <w:tcPr>
            <w:tcW w:w="1247" w:type="dxa"/>
            <w:vAlign w:val="center"/>
          </w:tcPr>
          <w:p w14:paraId="696B0602">
            <w:pPr>
              <w:keepNext w:val="0"/>
              <w:keepLines w:val="0"/>
              <w:pageBreakBefore w:val="0"/>
              <w:widowControl w:val="0"/>
              <w:kinsoku/>
              <w:wordWrap/>
              <w:overflowPunct/>
              <w:topLinePunct/>
              <w:autoSpaceDE w:val="0"/>
              <w:autoSpaceDN w:val="0"/>
              <w:bidi w:val="0"/>
              <w:adjustRightInd w:val="0"/>
              <w:snapToGrid w:val="0"/>
              <w:spacing w:line="420" w:lineRule="exact"/>
              <w:ind w:firstLine="440" w:firstLineChars="200"/>
              <w:jc w:val="center"/>
              <w:textAlignment w:val="baseline"/>
              <w:rPr>
                <w:rFonts w:hint="eastAsia" w:ascii="仿宋_GB2312" w:hAnsi="仿宋_GB2312" w:eastAsia="仿宋_GB2312" w:cs="仿宋_GB2312"/>
                <w:snapToGrid w:val="0"/>
                <w:color w:val="000000"/>
                <w:spacing w:val="0"/>
                <w:kern w:val="0"/>
                <w:sz w:val="22"/>
                <w:szCs w:val="22"/>
                <w:lang w:eastAsia="en-US"/>
              </w:rPr>
            </w:pPr>
          </w:p>
        </w:tc>
        <w:tc>
          <w:tcPr>
            <w:tcW w:w="826" w:type="dxa"/>
            <w:vAlign w:val="center"/>
          </w:tcPr>
          <w:p w14:paraId="7C26FD2F">
            <w:pPr>
              <w:keepNext w:val="0"/>
              <w:keepLines w:val="0"/>
              <w:pageBreakBefore w:val="0"/>
              <w:widowControl w:val="0"/>
              <w:kinsoku/>
              <w:wordWrap/>
              <w:overflowPunct/>
              <w:topLinePunct/>
              <w:autoSpaceDE w:val="0"/>
              <w:autoSpaceDN w:val="0"/>
              <w:bidi w:val="0"/>
              <w:adjustRightInd w:val="0"/>
              <w:snapToGrid w:val="0"/>
              <w:spacing w:line="420" w:lineRule="exact"/>
              <w:jc w:val="center"/>
              <w:textAlignment w:val="baseline"/>
              <w:rPr>
                <w:rFonts w:hint="eastAsia" w:ascii="仿宋_GB2312" w:hAnsi="仿宋_GB2312" w:eastAsia="仿宋_GB2312" w:cs="仿宋_GB2312"/>
                <w:snapToGrid w:val="0"/>
                <w:color w:val="000000"/>
                <w:spacing w:val="0"/>
                <w:kern w:val="0"/>
                <w:sz w:val="22"/>
                <w:szCs w:val="22"/>
                <w:lang w:eastAsia="en-US"/>
              </w:rPr>
            </w:pPr>
            <w:r>
              <w:rPr>
                <w:rFonts w:hint="eastAsia" w:ascii="仿宋_GB2312" w:hAnsi="仿宋_GB2312" w:eastAsia="仿宋_GB2312" w:cs="仿宋_GB2312"/>
                <w:snapToGrid w:val="0"/>
                <w:color w:val="000000"/>
                <w:spacing w:val="0"/>
                <w:kern w:val="0"/>
                <w:sz w:val="22"/>
                <w:szCs w:val="22"/>
                <w:lang w:eastAsia="en-US"/>
              </w:rPr>
              <w:t>性别</w:t>
            </w:r>
          </w:p>
        </w:tc>
        <w:tc>
          <w:tcPr>
            <w:tcW w:w="877" w:type="dxa"/>
            <w:vAlign w:val="center"/>
          </w:tcPr>
          <w:p w14:paraId="303E6B48">
            <w:pPr>
              <w:keepNext w:val="0"/>
              <w:keepLines w:val="0"/>
              <w:pageBreakBefore w:val="0"/>
              <w:widowControl w:val="0"/>
              <w:kinsoku/>
              <w:wordWrap/>
              <w:overflowPunct/>
              <w:topLinePunct/>
              <w:autoSpaceDE w:val="0"/>
              <w:autoSpaceDN w:val="0"/>
              <w:bidi w:val="0"/>
              <w:adjustRightInd w:val="0"/>
              <w:snapToGrid w:val="0"/>
              <w:spacing w:line="420" w:lineRule="exact"/>
              <w:ind w:firstLine="440" w:firstLineChars="200"/>
              <w:jc w:val="center"/>
              <w:textAlignment w:val="baseline"/>
              <w:rPr>
                <w:rFonts w:hint="eastAsia" w:ascii="仿宋_GB2312" w:hAnsi="仿宋_GB2312" w:eastAsia="仿宋_GB2312" w:cs="仿宋_GB2312"/>
                <w:snapToGrid w:val="0"/>
                <w:color w:val="000000"/>
                <w:spacing w:val="0"/>
                <w:kern w:val="0"/>
                <w:sz w:val="22"/>
                <w:szCs w:val="22"/>
                <w:lang w:eastAsia="en-US"/>
              </w:rPr>
            </w:pPr>
          </w:p>
        </w:tc>
        <w:tc>
          <w:tcPr>
            <w:tcW w:w="724" w:type="dxa"/>
            <w:vAlign w:val="center"/>
          </w:tcPr>
          <w:p w14:paraId="4E5A6C99">
            <w:pPr>
              <w:keepNext w:val="0"/>
              <w:keepLines w:val="0"/>
              <w:pageBreakBefore w:val="0"/>
              <w:widowControl w:val="0"/>
              <w:kinsoku/>
              <w:wordWrap/>
              <w:overflowPunct/>
              <w:topLinePunct/>
              <w:autoSpaceDE w:val="0"/>
              <w:autoSpaceDN w:val="0"/>
              <w:bidi w:val="0"/>
              <w:adjustRightInd w:val="0"/>
              <w:snapToGrid w:val="0"/>
              <w:spacing w:line="420" w:lineRule="exact"/>
              <w:jc w:val="center"/>
              <w:textAlignment w:val="baseline"/>
              <w:rPr>
                <w:rFonts w:hint="eastAsia" w:ascii="仿宋_GB2312" w:hAnsi="仿宋_GB2312" w:eastAsia="仿宋_GB2312" w:cs="仿宋_GB2312"/>
                <w:snapToGrid w:val="0"/>
                <w:color w:val="000000"/>
                <w:spacing w:val="0"/>
                <w:kern w:val="0"/>
                <w:sz w:val="22"/>
                <w:szCs w:val="22"/>
                <w:lang w:eastAsia="en-US"/>
              </w:rPr>
            </w:pPr>
            <w:r>
              <w:rPr>
                <w:rFonts w:hint="eastAsia" w:ascii="仿宋_GB2312" w:hAnsi="仿宋_GB2312" w:eastAsia="仿宋_GB2312" w:cs="仿宋_GB2312"/>
                <w:snapToGrid w:val="0"/>
                <w:color w:val="000000"/>
                <w:spacing w:val="0"/>
                <w:kern w:val="0"/>
                <w:sz w:val="22"/>
                <w:szCs w:val="22"/>
                <w:lang w:eastAsia="en-US"/>
              </w:rPr>
              <w:t>年龄</w:t>
            </w:r>
          </w:p>
        </w:tc>
        <w:tc>
          <w:tcPr>
            <w:tcW w:w="1045" w:type="dxa"/>
            <w:vAlign w:val="center"/>
          </w:tcPr>
          <w:p w14:paraId="1FD70970">
            <w:pPr>
              <w:keepNext w:val="0"/>
              <w:keepLines w:val="0"/>
              <w:pageBreakBefore w:val="0"/>
              <w:widowControl w:val="0"/>
              <w:kinsoku/>
              <w:wordWrap/>
              <w:overflowPunct/>
              <w:topLinePunct/>
              <w:autoSpaceDE w:val="0"/>
              <w:autoSpaceDN w:val="0"/>
              <w:bidi w:val="0"/>
              <w:adjustRightInd w:val="0"/>
              <w:snapToGrid w:val="0"/>
              <w:spacing w:line="420" w:lineRule="exact"/>
              <w:ind w:firstLine="440" w:firstLineChars="200"/>
              <w:jc w:val="center"/>
              <w:textAlignment w:val="baseline"/>
              <w:rPr>
                <w:rFonts w:hint="eastAsia" w:ascii="仿宋_GB2312" w:hAnsi="仿宋_GB2312" w:eastAsia="仿宋_GB2312" w:cs="仿宋_GB2312"/>
                <w:snapToGrid w:val="0"/>
                <w:color w:val="000000"/>
                <w:spacing w:val="0"/>
                <w:kern w:val="0"/>
                <w:sz w:val="22"/>
                <w:szCs w:val="22"/>
                <w:lang w:eastAsia="en-US"/>
              </w:rPr>
            </w:pPr>
          </w:p>
        </w:tc>
        <w:tc>
          <w:tcPr>
            <w:tcW w:w="961" w:type="dxa"/>
            <w:vAlign w:val="center"/>
          </w:tcPr>
          <w:p w14:paraId="3858A586">
            <w:pPr>
              <w:keepNext w:val="0"/>
              <w:keepLines w:val="0"/>
              <w:pageBreakBefore w:val="0"/>
              <w:widowControl w:val="0"/>
              <w:kinsoku/>
              <w:wordWrap/>
              <w:overflowPunct/>
              <w:topLinePunct/>
              <w:autoSpaceDE w:val="0"/>
              <w:autoSpaceDN w:val="0"/>
              <w:bidi w:val="0"/>
              <w:adjustRightInd w:val="0"/>
              <w:snapToGrid w:val="0"/>
              <w:spacing w:line="420" w:lineRule="exact"/>
              <w:jc w:val="center"/>
              <w:textAlignment w:val="baseline"/>
              <w:rPr>
                <w:rFonts w:hint="eastAsia" w:ascii="仿宋_GB2312" w:hAnsi="仿宋_GB2312" w:eastAsia="仿宋_GB2312" w:cs="仿宋_GB2312"/>
                <w:snapToGrid w:val="0"/>
                <w:color w:val="000000"/>
                <w:spacing w:val="0"/>
                <w:kern w:val="0"/>
                <w:sz w:val="22"/>
                <w:szCs w:val="22"/>
                <w:lang w:eastAsia="en-US"/>
              </w:rPr>
            </w:pPr>
            <w:r>
              <w:rPr>
                <w:rFonts w:hint="eastAsia" w:ascii="仿宋_GB2312" w:hAnsi="仿宋_GB2312" w:eastAsia="仿宋_GB2312" w:cs="仿宋_GB2312"/>
                <w:snapToGrid w:val="0"/>
                <w:color w:val="000000"/>
                <w:spacing w:val="0"/>
                <w:kern w:val="0"/>
                <w:sz w:val="22"/>
                <w:szCs w:val="22"/>
                <w:lang w:eastAsia="en-US"/>
              </w:rPr>
              <w:t>住院号</w:t>
            </w:r>
          </w:p>
        </w:tc>
        <w:tc>
          <w:tcPr>
            <w:tcW w:w="2415" w:type="dxa"/>
            <w:vAlign w:val="center"/>
          </w:tcPr>
          <w:p w14:paraId="59501572">
            <w:pPr>
              <w:keepNext w:val="0"/>
              <w:keepLines w:val="0"/>
              <w:pageBreakBefore w:val="0"/>
              <w:widowControl w:val="0"/>
              <w:kinsoku/>
              <w:wordWrap/>
              <w:overflowPunct/>
              <w:topLinePunct/>
              <w:autoSpaceDE w:val="0"/>
              <w:autoSpaceDN w:val="0"/>
              <w:bidi w:val="0"/>
              <w:adjustRightInd w:val="0"/>
              <w:snapToGrid w:val="0"/>
              <w:spacing w:line="420" w:lineRule="exact"/>
              <w:ind w:firstLine="440" w:firstLineChars="200"/>
              <w:jc w:val="center"/>
              <w:textAlignment w:val="baseline"/>
              <w:rPr>
                <w:rFonts w:hint="eastAsia" w:ascii="仿宋_GB2312" w:hAnsi="仿宋_GB2312" w:eastAsia="仿宋_GB2312" w:cs="仿宋_GB2312"/>
                <w:snapToGrid w:val="0"/>
                <w:color w:val="000000"/>
                <w:spacing w:val="0"/>
                <w:kern w:val="0"/>
                <w:sz w:val="22"/>
                <w:szCs w:val="22"/>
                <w:lang w:eastAsia="en-US"/>
              </w:rPr>
            </w:pPr>
          </w:p>
        </w:tc>
      </w:tr>
      <w:tr w14:paraId="0C715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8979" w:hRule="atLeast"/>
          <w:jc w:val="center"/>
        </w:trPr>
        <w:tc>
          <w:tcPr>
            <w:tcW w:w="9298" w:type="dxa"/>
            <w:gridSpan w:val="8"/>
            <w:vAlign w:val="center"/>
          </w:tcPr>
          <w:p w14:paraId="3265DBEF">
            <w:pPr>
              <w:keepNext w:val="0"/>
              <w:keepLines w:val="0"/>
              <w:pageBreakBefore w:val="0"/>
              <w:widowControl w:val="0"/>
              <w:kinsoku/>
              <w:wordWrap/>
              <w:overflowPunct/>
              <w:topLinePunct/>
              <w:autoSpaceDE w:val="0"/>
              <w:autoSpaceDN w:val="0"/>
              <w:bidi w:val="0"/>
              <w:adjustRightInd w:val="0"/>
              <w:snapToGrid w:val="0"/>
              <w:spacing w:line="420" w:lineRule="exact"/>
              <w:ind w:firstLine="440" w:firstLineChars="200"/>
              <w:textAlignment w:val="baseline"/>
              <w:rPr>
                <w:rFonts w:hint="eastAsia" w:ascii="仿宋_GB2312" w:hAnsi="仿宋_GB2312" w:eastAsia="仿宋_GB2312" w:cs="仿宋_GB2312"/>
                <w:snapToGrid w:val="0"/>
                <w:color w:val="000000"/>
                <w:spacing w:val="0"/>
                <w:kern w:val="0"/>
                <w:sz w:val="22"/>
                <w:szCs w:val="22"/>
                <w:lang w:eastAsia="zh-CN"/>
              </w:rPr>
            </w:pPr>
            <w:r>
              <w:rPr>
                <w:rFonts w:hint="eastAsia" w:ascii="仿宋_GB2312" w:hAnsi="仿宋_GB2312" w:eastAsia="仿宋_GB2312" w:cs="仿宋_GB2312"/>
                <w:snapToGrid w:val="0"/>
                <w:color w:val="000000"/>
                <w:spacing w:val="0"/>
                <w:kern w:val="0"/>
                <w:sz w:val="22"/>
                <w:szCs w:val="22"/>
                <w:lang w:eastAsia="zh-CN"/>
              </w:rPr>
              <w:t>一、病情及约束必要性告知</w:t>
            </w:r>
          </w:p>
          <w:p w14:paraId="1EB5A212">
            <w:pPr>
              <w:keepNext w:val="0"/>
              <w:keepLines w:val="0"/>
              <w:pageBreakBefore w:val="0"/>
              <w:widowControl w:val="0"/>
              <w:kinsoku/>
              <w:wordWrap/>
              <w:overflowPunct/>
              <w:topLinePunct/>
              <w:autoSpaceDE w:val="0"/>
              <w:autoSpaceDN w:val="0"/>
              <w:bidi w:val="0"/>
              <w:adjustRightInd w:val="0"/>
              <w:snapToGrid w:val="0"/>
              <w:spacing w:line="42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患者因精神疾患需住院治疗，目前处于精神疾病急性治疗期，存在或有可能出现情绪不稳定、不配合治疗、冲动、外跑、自伤、伤人、毁物等行为及其他不可预知的危险。为保障患者本人及他人安全，防止意外发生，根据《中华人民共和国精神卫生法》第四十条规定，医疗机构在没有其他可替代措施的情况下，可以实施约束、隔离等保护性医疗措施。</w:t>
            </w:r>
          </w:p>
          <w:p w14:paraId="5FECC06B">
            <w:pPr>
              <w:keepNext w:val="0"/>
              <w:keepLines w:val="0"/>
              <w:pageBreakBefore w:val="0"/>
              <w:widowControl w:val="0"/>
              <w:kinsoku/>
              <w:wordWrap/>
              <w:overflowPunct/>
              <w:topLinePunct/>
              <w:autoSpaceDE w:val="0"/>
              <w:autoSpaceDN w:val="0"/>
              <w:bidi w:val="0"/>
              <w:adjustRightInd w:val="0"/>
              <w:snapToGrid w:val="0"/>
              <w:spacing w:line="420" w:lineRule="exact"/>
              <w:ind w:firstLine="440" w:firstLineChars="200"/>
              <w:textAlignment w:val="baseline"/>
              <w:rPr>
                <w:rFonts w:hint="eastAsia" w:ascii="仿宋_GB2312" w:hAnsi="仿宋_GB2312" w:eastAsia="仿宋_GB2312" w:cs="仿宋_GB2312"/>
                <w:snapToGrid w:val="0"/>
                <w:color w:val="000000"/>
                <w:spacing w:val="0"/>
                <w:kern w:val="0"/>
                <w:sz w:val="22"/>
                <w:szCs w:val="22"/>
                <w:lang w:eastAsia="zh-CN"/>
              </w:rPr>
            </w:pPr>
            <w:r>
              <w:rPr>
                <w:rFonts w:hint="eastAsia" w:ascii="仿宋_GB2312" w:hAnsi="仿宋_GB2312" w:eastAsia="仿宋_GB2312" w:cs="仿宋_GB2312"/>
                <w:snapToGrid w:val="0"/>
                <w:color w:val="000000"/>
                <w:spacing w:val="0"/>
                <w:kern w:val="0"/>
                <w:sz w:val="22"/>
                <w:szCs w:val="22"/>
                <w:lang w:eastAsia="zh-CN"/>
              </w:rPr>
              <w:t>二、约束并发症及风险告知</w:t>
            </w:r>
          </w:p>
          <w:p w14:paraId="3AF564D9">
            <w:pPr>
              <w:keepNext w:val="0"/>
              <w:keepLines w:val="0"/>
              <w:pageBreakBefore w:val="0"/>
              <w:widowControl w:val="0"/>
              <w:kinsoku/>
              <w:wordWrap/>
              <w:overflowPunct/>
              <w:topLinePunct/>
              <w:autoSpaceDE w:val="0"/>
              <w:autoSpaceDN w:val="0"/>
              <w:bidi w:val="0"/>
              <w:adjustRightInd w:val="0"/>
              <w:snapToGrid w:val="0"/>
              <w:spacing w:line="42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医务人员将严格掌握保护性约束的适应症，规范实施操作，但仍可能出现以下并发症及不良后果：</w:t>
            </w:r>
          </w:p>
          <w:p w14:paraId="53608CB1">
            <w:pPr>
              <w:keepNext w:val="0"/>
              <w:keepLines w:val="0"/>
              <w:pageBreakBefore w:val="0"/>
              <w:widowControl w:val="0"/>
              <w:kinsoku/>
              <w:wordWrap/>
              <w:overflowPunct/>
              <w:topLinePunct/>
              <w:autoSpaceDE w:val="0"/>
              <w:autoSpaceDN w:val="0"/>
              <w:bidi w:val="0"/>
              <w:adjustRightInd w:val="0"/>
              <w:snapToGrid w:val="0"/>
              <w:spacing w:line="42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Times New Roman" w:hAnsi="Times New Roman" w:eastAsia="仿宋_GB2312" w:cs="仿宋_GB2312"/>
                <w:snapToGrid w:val="0"/>
                <w:color w:val="000000"/>
                <w:spacing w:val="0"/>
                <w:kern w:val="0"/>
                <w:sz w:val="22"/>
                <w:szCs w:val="22"/>
              </w:rPr>
              <w:t>1</w:t>
            </w:r>
            <w:r>
              <w:rPr>
                <w:rFonts w:hint="eastAsia" w:ascii="仿宋_GB2312" w:hAnsi="仿宋_GB2312" w:eastAsia="仿宋_GB2312" w:cs="仿宋_GB2312"/>
                <w:snapToGrid w:val="0"/>
                <w:color w:val="000000"/>
                <w:spacing w:val="0"/>
                <w:kern w:val="0"/>
                <w:sz w:val="22"/>
                <w:szCs w:val="22"/>
              </w:rPr>
              <w:t>.局部皮肤红肿、破溃、水疱、压疮；</w:t>
            </w:r>
          </w:p>
          <w:p w14:paraId="5108A45F">
            <w:pPr>
              <w:keepNext w:val="0"/>
              <w:keepLines w:val="0"/>
              <w:pageBreakBefore w:val="0"/>
              <w:widowControl w:val="0"/>
              <w:kinsoku/>
              <w:wordWrap/>
              <w:overflowPunct/>
              <w:topLinePunct/>
              <w:autoSpaceDE w:val="0"/>
              <w:autoSpaceDN w:val="0"/>
              <w:bidi w:val="0"/>
              <w:adjustRightInd w:val="0"/>
              <w:snapToGrid w:val="0"/>
              <w:spacing w:line="42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Times New Roman" w:hAnsi="Times New Roman" w:eastAsia="仿宋_GB2312" w:cs="仿宋_GB2312"/>
                <w:snapToGrid w:val="0"/>
                <w:color w:val="000000"/>
                <w:spacing w:val="0"/>
                <w:kern w:val="0"/>
                <w:sz w:val="22"/>
                <w:szCs w:val="22"/>
              </w:rPr>
              <w:t>2</w:t>
            </w:r>
            <w:r>
              <w:rPr>
                <w:rFonts w:hint="eastAsia" w:ascii="仿宋_GB2312" w:hAnsi="仿宋_GB2312" w:eastAsia="仿宋_GB2312" w:cs="仿宋_GB2312"/>
                <w:snapToGrid w:val="0"/>
                <w:color w:val="000000"/>
                <w:spacing w:val="0"/>
                <w:kern w:val="0"/>
                <w:sz w:val="22"/>
                <w:szCs w:val="22"/>
              </w:rPr>
              <w:t>.关节僵硬、关节脱位、骨折；</w:t>
            </w:r>
          </w:p>
          <w:p w14:paraId="56EE3321">
            <w:pPr>
              <w:keepNext w:val="0"/>
              <w:keepLines w:val="0"/>
              <w:pageBreakBefore w:val="0"/>
              <w:widowControl w:val="0"/>
              <w:kinsoku/>
              <w:wordWrap/>
              <w:overflowPunct/>
              <w:topLinePunct/>
              <w:autoSpaceDE w:val="0"/>
              <w:autoSpaceDN w:val="0"/>
              <w:bidi w:val="0"/>
              <w:adjustRightInd w:val="0"/>
              <w:snapToGrid w:val="0"/>
              <w:spacing w:line="42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Times New Roman" w:hAnsi="Times New Roman" w:eastAsia="仿宋_GB2312" w:cs="仿宋_GB2312"/>
                <w:snapToGrid w:val="0"/>
                <w:color w:val="000000"/>
                <w:spacing w:val="0"/>
                <w:kern w:val="0"/>
                <w:sz w:val="22"/>
                <w:szCs w:val="22"/>
              </w:rPr>
              <w:t>3</w:t>
            </w:r>
            <w:r>
              <w:rPr>
                <w:rFonts w:hint="eastAsia" w:ascii="仿宋_GB2312" w:hAnsi="仿宋_GB2312" w:eastAsia="仿宋_GB2312" w:cs="仿宋_GB2312"/>
                <w:snapToGrid w:val="0"/>
                <w:color w:val="000000"/>
                <w:spacing w:val="0"/>
                <w:kern w:val="0"/>
                <w:sz w:val="22"/>
                <w:szCs w:val="22"/>
              </w:rPr>
              <w:t>.肢体麻木、血液循环障碍；</w:t>
            </w:r>
          </w:p>
          <w:p w14:paraId="39926FEC">
            <w:pPr>
              <w:keepNext w:val="0"/>
              <w:keepLines w:val="0"/>
              <w:pageBreakBefore w:val="0"/>
              <w:widowControl w:val="0"/>
              <w:kinsoku/>
              <w:wordWrap/>
              <w:overflowPunct/>
              <w:topLinePunct/>
              <w:autoSpaceDE w:val="0"/>
              <w:autoSpaceDN w:val="0"/>
              <w:bidi w:val="0"/>
              <w:adjustRightInd w:val="0"/>
              <w:snapToGrid w:val="0"/>
              <w:spacing w:line="42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Times New Roman" w:hAnsi="Times New Roman" w:eastAsia="仿宋_GB2312" w:cs="仿宋_GB2312"/>
                <w:snapToGrid w:val="0"/>
                <w:color w:val="000000"/>
                <w:spacing w:val="0"/>
                <w:kern w:val="0"/>
                <w:sz w:val="22"/>
                <w:szCs w:val="22"/>
              </w:rPr>
              <w:t>4</w:t>
            </w:r>
            <w:r>
              <w:rPr>
                <w:rFonts w:hint="eastAsia" w:ascii="仿宋_GB2312" w:hAnsi="仿宋_GB2312" w:eastAsia="仿宋_GB2312" w:cs="仿宋_GB2312"/>
                <w:snapToGrid w:val="0"/>
                <w:color w:val="000000"/>
                <w:spacing w:val="0"/>
                <w:kern w:val="0"/>
                <w:sz w:val="22"/>
                <w:szCs w:val="22"/>
              </w:rPr>
              <w:t>.患者情绪激动、抗拒行为加剧；</w:t>
            </w:r>
          </w:p>
          <w:p w14:paraId="3ABF472E">
            <w:pPr>
              <w:keepNext w:val="0"/>
              <w:keepLines w:val="0"/>
              <w:pageBreakBefore w:val="0"/>
              <w:widowControl w:val="0"/>
              <w:kinsoku/>
              <w:wordWrap/>
              <w:overflowPunct/>
              <w:topLinePunct/>
              <w:autoSpaceDE w:val="0"/>
              <w:autoSpaceDN w:val="0"/>
              <w:bidi w:val="0"/>
              <w:adjustRightInd w:val="0"/>
              <w:snapToGrid w:val="0"/>
              <w:spacing w:line="42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Times New Roman" w:hAnsi="Times New Roman" w:eastAsia="仿宋_GB2312" w:cs="仿宋_GB2312"/>
                <w:snapToGrid w:val="0"/>
                <w:color w:val="000000"/>
                <w:spacing w:val="0"/>
                <w:kern w:val="0"/>
                <w:sz w:val="22"/>
                <w:szCs w:val="22"/>
              </w:rPr>
              <w:t>5</w:t>
            </w:r>
            <w:r>
              <w:rPr>
                <w:rFonts w:hint="eastAsia" w:ascii="仿宋_GB2312" w:hAnsi="仿宋_GB2312" w:eastAsia="仿宋_GB2312" w:cs="仿宋_GB2312"/>
                <w:snapToGrid w:val="0"/>
                <w:color w:val="000000"/>
                <w:spacing w:val="0"/>
                <w:kern w:val="0"/>
                <w:sz w:val="22"/>
                <w:szCs w:val="22"/>
              </w:rPr>
              <w:t>.其他不可预知的意外情况。</w:t>
            </w:r>
          </w:p>
          <w:p w14:paraId="21F8B0E7">
            <w:pPr>
              <w:keepNext w:val="0"/>
              <w:keepLines w:val="0"/>
              <w:pageBreakBefore w:val="0"/>
              <w:widowControl w:val="0"/>
              <w:kinsoku/>
              <w:wordWrap/>
              <w:overflowPunct/>
              <w:topLinePunct/>
              <w:autoSpaceDE w:val="0"/>
              <w:autoSpaceDN w:val="0"/>
              <w:bidi w:val="0"/>
              <w:adjustRightInd w:val="0"/>
              <w:snapToGrid w:val="0"/>
              <w:spacing w:line="420" w:lineRule="exact"/>
              <w:ind w:firstLine="440" w:firstLineChars="200"/>
              <w:textAlignment w:val="baseline"/>
              <w:rPr>
                <w:rFonts w:hint="eastAsia" w:ascii="仿宋_GB2312" w:hAnsi="仿宋_GB2312" w:eastAsia="仿宋_GB2312" w:cs="仿宋_GB2312"/>
                <w:snapToGrid w:val="0"/>
                <w:color w:val="000000"/>
                <w:spacing w:val="0"/>
                <w:kern w:val="0"/>
                <w:sz w:val="22"/>
                <w:szCs w:val="22"/>
                <w:lang w:eastAsia="zh-CN"/>
              </w:rPr>
            </w:pPr>
            <w:r>
              <w:rPr>
                <w:rFonts w:hint="eastAsia" w:ascii="仿宋_GB2312" w:hAnsi="仿宋_GB2312" w:eastAsia="仿宋_GB2312" w:cs="仿宋_GB2312"/>
                <w:snapToGrid w:val="0"/>
                <w:color w:val="000000"/>
                <w:spacing w:val="0"/>
                <w:kern w:val="0"/>
                <w:sz w:val="22"/>
                <w:szCs w:val="22"/>
                <w:lang w:eastAsia="zh-CN"/>
              </w:rPr>
              <w:t>三、患方意见及签署</w:t>
            </w:r>
          </w:p>
          <w:p w14:paraId="24D19919">
            <w:pPr>
              <w:keepNext w:val="0"/>
              <w:keepLines w:val="0"/>
              <w:pageBreakBefore w:val="0"/>
              <w:widowControl w:val="0"/>
              <w:kinsoku/>
              <w:wordWrap/>
              <w:overflowPunct/>
              <w:topLinePunct/>
              <w:autoSpaceDE w:val="0"/>
              <w:autoSpaceDN w:val="0"/>
              <w:bidi w:val="0"/>
              <w:adjustRightInd w:val="0"/>
              <w:snapToGrid w:val="0"/>
              <w:spacing w:line="42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本人对以上告知内容已知晓，充分理解保护性约束的必要性、相应的风险及不良后果，并向医生提出了我的疑问，医生均已解答。</w:t>
            </w:r>
          </w:p>
          <w:p w14:paraId="3B867DFD">
            <w:pPr>
              <w:keepNext w:val="0"/>
              <w:keepLines w:val="0"/>
              <w:pageBreakBefore w:val="0"/>
              <w:widowControl w:val="0"/>
              <w:kinsoku/>
              <w:wordWrap/>
              <w:overflowPunct/>
              <w:topLinePunct/>
              <w:autoSpaceDE w:val="0"/>
              <w:autoSpaceDN w:val="0"/>
              <w:bidi w:val="0"/>
              <w:adjustRightInd w:val="0"/>
              <w:snapToGrid w:val="0"/>
              <w:spacing w:line="42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经慎重考虑，我同意对患者实施保护性医疗措施（包括约束、隔离等），并愿意承担相应风险。</w:t>
            </w:r>
          </w:p>
          <w:p w14:paraId="71CB18D1">
            <w:pPr>
              <w:keepNext w:val="0"/>
              <w:keepLines w:val="0"/>
              <w:pageBreakBefore w:val="0"/>
              <w:widowControl w:val="0"/>
              <w:kinsoku/>
              <w:wordWrap/>
              <w:overflowPunct/>
              <w:topLinePunct/>
              <w:autoSpaceDE w:val="0"/>
              <w:autoSpaceDN w:val="0"/>
              <w:bidi w:val="0"/>
              <w:adjustRightInd w:val="0"/>
              <w:snapToGrid w:val="0"/>
              <w:spacing w:line="42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患者本人签名：____________ 日期：____年____月____日</w:t>
            </w:r>
          </w:p>
          <w:p w14:paraId="11CE998A">
            <w:pPr>
              <w:keepNext w:val="0"/>
              <w:keepLines w:val="0"/>
              <w:pageBreakBefore w:val="0"/>
              <w:widowControl w:val="0"/>
              <w:kinsoku/>
              <w:wordWrap/>
              <w:overflowPunct/>
              <w:topLinePunct/>
              <w:autoSpaceDE w:val="0"/>
              <w:autoSpaceDN w:val="0"/>
              <w:bidi w:val="0"/>
              <w:adjustRightInd w:val="0"/>
              <w:snapToGrid w:val="0"/>
              <w:spacing w:line="42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监护人/近亲属签名：____________与患者关系：___________ 日期：____年____月____日</w:t>
            </w:r>
          </w:p>
          <w:p w14:paraId="73D32D08">
            <w:pPr>
              <w:keepNext w:val="0"/>
              <w:keepLines w:val="0"/>
              <w:pageBreakBefore w:val="0"/>
              <w:widowControl w:val="0"/>
              <w:kinsoku/>
              <w:wordWrap/>
              <w:overflowPunct/>
              <w:topLinePunct/>
              <w:autoSpaceDE w:val="0"/>
              <w:autoSpaceDN w:val="0"/>
              <w:bidi w:val="0"/>
              <w:adjustRightInd w:val="0"/>
              <w:snapToGrid w:val="0"/>
              <w:spacing w:line="420" w:lineRule="exact"/>
              <w:ind w:left="0" w:leftChars="0"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医师签名：____________ 日期：____年____月____日</w:t>
            </w:r>
          </w:p>
        </w:tc>
      </w:tr>
      <w:tr w14:paraId="290ED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0" w:hRule="atLeast"/>
          <w:jc w:val="center"/>
        </w:trPr>
        <w:tc>
          <w:tcPr>
            <w:tcW w:w="9298" w:type="dxa"/>
            <w:gridSpan w:val="8"/>
            <w:vAlign w:val="center"/>
          </w:tcPr>
          <w:p w14:paraId="63655BE2">
            <w:pPr>
              <w:topLinePunct/>
              <w:autoSpaceDE w:val="0"/>
              <w:autoSpaceDN w:val="0"/>
              <w:adjustRightInd w:val="0"/>
              <w:snapToGrid w:val="0"/>
              <w:spacing w:line="348" w:lineRule="auto"/>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医护人员陈述：</w:t>
            </w:r>
          </w:p>
          <w:p w14:paraId="683F4391">
            <w:pPr>
              <w:topLinePunct/>
              <w:autoSpaceDE w:val="0"/>
              <w:autoSpaceDN w:val="0"/>
              <w:adjustRightInd w:val="0"/>
              <w:snapToGrid w:val="0"/>
              <w:spacing w:line="348" w:lineRule="auto"/>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我已经将对患者实施保护性约束的必要性及相应的风险和不良后果告知患者、患者家属或患者的法定监护人、授权委托人，并且解答了相关的问题。</w:t>
            </w:r>
          </w:p>
          <w:p w14:paraId="640DF169">
            <w:pPr>
              <w:topLinePunct/>
              <w:autoSpaceDE w:val="0"/>
              <w:autoSpaceDN w:val="0"/>
              <w:adjustRightInd w:val="0"/>
              <w:snapToGrid w:val="0"/>
              <w:spacing w:line="348" w:lineRule="auto"/>
              <w:ind w:left="3990" w:leftChars="1900" w:firstLine="440" w:firstLineChars="200"/>
              <w:textAlignment w:val="baseline"/>
              <w:rPr>
                <w:rFonts w:hint="eastAsia" w:ascii="仿宋_GB2312" w:hAnsi="仿宋_GB2312" w:eastAsia="仿宋_GB2312" w:cs="仿宋_GB2312"/>
                <w:snapToGrid w:val="0"/>
                <w:color w:val="000000"/>
                <w:spacing w:val="0"/>
                <w:kern w:val="0"/>
                <w:sz w:val="22"/>
                <w:szCs w:val="22"/>
                <w:lang w:eastAsia="en-US"/>
              </w:rPr>
            </w:pPr>
            <w:r>
              <w:rPr>
                <w:rFonts w:hint="eastAsia" w:ascii="仿宋_GB2312" w:hAnsi="仿宋_GB2312" w:eastAsia="仿宋_GB2312" w:cs="仿宋_GB2312"/>
                <w:snapToGrid w:val="0"/>
                <w:color w:val="000000"/>
                <w:spacing w:val="0"/>
                <w:kern w:val="0"/>
                <w:sz w:val="22"/>
                <w:szCs w:val="22"/>
                <w:lang w:eastAsia="en-US"/>
              </w:rPr>
              <w:t>医师签名：                时间：</w:t>
            </w:r>
          </w:p>
        </w:tc>
      </w:tr>
    </w:tbl>
    <w:p w14:paraId="07D1B55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kern w:val="0"/>
          <w:sz w:val="32"/>
          <w:szCs w:val="32"/>
          <w:lang w:eastAsia="en-US"/>
        </w:rPr>
      </w:pPr>
    </w:p>
    <w:p w14:paraId="6A68D48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kern w:val="0"/>
          <w:sz w:val="32"/>
          <w:szCs w:val="32"/>
          <w:lang w:eastAsia="en-US"/>
        </w:rPr>
      </w:pPr>
    </w:p>
    <w:p w14:paraId="2842F34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kern w:val="0"/>
          <w:sz w:val="32"/>
          <w:szCs w:val="32"/>
          <w:lang w:eastAsia="en-US"/>
        </w:rPr>
      </w:pPr>
      <w:bookmarkStart w:id="45" w:name="_GoBack"/>
      <w:bookmarkEnd w:id="45"/>
      <w:r>
        <w:rPr>
          <w:rFonts w:hint="eastAsia" w:ascii="黑体" w:hAnsi="黑体" w:eastAsia="黑体" w:cs="黑体"/>
          <w:kern w:val="0"/>
          <w:sz w:val="32"/>
          <w:szCs w:val="32"/>
          <w:lang w:eastAsia="en-US"/>
        </w:rPr>
        <w:t>附</w:t>
      </w:r>
      <w:r>
        <w:rPr>
          <w:rFonts w:hint="eastAsia" w:ascii="Times New Roman" w:hAnsi="Times New Roman" w:eastAsia="黑体" w:cs="黑体"/>
          <w:kern w:val="0"/>
          <w:sz w:val="32"/>
          <w:szCs w:val="32"/>
          <w:lang w:eastAsia="en-US"/>
        </w:rPr>
        <w:t>7</w:t>
      </w:r>
    </w:p>
    <w:p w14:paraId="39EEC5BD">
      <w:pPr>
        <w:keepNext w:val="0"/>
        <w:keepLines w:val="0"/>
        <w:pageBreakBefore w:val="0"/>
        <w:widowControl w:val="0"/>
        <w:kinsoku/>
        <w:wordWrap/>
        <w:overflowPunct/>
        <w:topLinePunct w:val="0"/>
        <w:autoSpaceDE/>
        <w:autoSpaceDN/>
        <w:bidi w:val="0"/>
        <w:adjustRightInd w:val="0"/>
        <w:snapToGrid w:val="0"/>
        <w:spacing w:before="157" w:beforeLines="50" w:after="95" w:afterLines="30" w:line="240" w:lineRule="auto"/>
        <w:jc w:val="center"/>
        <w:textAlignment w:val="auto"/>
        <w:rPr>
          <w:rFonts w:hint="eastAsia" w:ascii="方正小标宋_GBK" w:hAnsi="方正小标宋_GBK" w:eastAsia="方正小标宋_GBK" w:cs="方正小标宋_GBK"/>
          <w:color w:val="000000" w:themeColor="text1"/>
          <w:spacing w:val="11"/>
          <w:sz w:val="40"/>
          <w:szCs w:val="40"/>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pacing w:val="11"/>
          <w:sz w:val="40"/>
          <w:szCs w:val="40"/>
          <w:lang w:val="en-US" w:eastAsia="zh-CN"/>
          <w14:textFill>
            <w14:solidFill>
              <w14:schemeClr w14:val="tx1"/>
            </w14:solidFill>
          </w14:textFill>
        </w:rPr>
        <w:t>疑似精神障碍患者紧急住院观察入院告知书</w:t>
      </w:r>
    </w:p>
    <w:p w14:paraId="655FB44C">
      <w:pPr>
        <w:widowControl/>
        <w:kinsoku w:val="0"/>
        <w:autoSpaceDE w:val="0"/>
        <w:autoSpaceDN w:val="0"/>
        <w:adjustRightInd w:val="0"/>
        <w:snapToGrid w:val="0"/>
        <w:spacing w:line="36" w:lineRule="auto"/>
        <w:textAlignment w:val="baseline"/>
        <w:rPr>
          <w:rFonts w:ascii="Arial" w:hAnsi="Arial" w:eastAsia="Arial" w:cs="Arial"/>
          <w:snapToGrid w:val="0"/>
          <w:color w:val="000000"/>
          <w:kern w:val="0"/>
          <w:sz w:val="2"/>
          <w:szCs w:val="21"/>
        </w:rPr>
      </w:pPr>
    </w:p>
    <w:tbl>
      <w:tblPr>
        <w:tblStyle w:val="82"/>
        <w:tblW w:w="93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07"/>
      </w:tblGrid>
      <w:tr w14:paraId="4550B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8" w:hRule="atLeast"/>
          <w:jc w:val="center"/>
        </w:trPr>
        <w:tc>
          <w:tcPr>
            <w:tcW w:w="9307" w:type="dxa"/>
            <w:vAlign w:val="center"/>
          </w:tcPr>
          <w:p w14:paraId="18796FEA">
            <w:pPr>
              <w:keepNext w:val="0"/>
              <w:keepLines w:val="0"/>
              <w:pageBreakBefore w:val="0"/>
              <w:widowControl w:val="0"/>
              <w:kinsoku/>
              <w:wordWrap/>
              <w:overflowPunct/>
              <w:topLinePunct/>
              <w:autoSpaceDE w:val="0"/>
              <w:autoSpaceDN/>
              <w:bidi w:val="0"/>
              <w:adjustRightInd w:val="0"/>
              <w:snapToGrid w:val="0"/>
              <w:spacing w:line="38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本告知书依据《中华人民共和国精神卫生法》和卫生行政管理部门有关配套文件的规定制订，作为疑似精神障碍患者紧急住院观察入院的文件存档。您签署之后，持此告知书连同下联的入院通知单，到住院处办理紧急住院观察的入院手续。</w:t>
            </w:r>
          </w:p>
        </w:tc>
      </w:tr>
      <w:tr w14:paraId="65FEC6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0" w:hRule="atLeast"/>
          <w:jc w:val="center"/>
        </w:trPr>
        <w:tc>
          <w:tcPr>
            <w:tcW w:w="9307" w:type="dxa"/>
            <w:vAlign w:val="center"/>
          </w:tcPr>
          <w:p w14:paraId="72087669">
            <w:pPr>
              <w:keepNext w:val="0"/>
              <w:keepLines w:val="0"/>
              <w:pageBreakBefore w:val="0"/>
              <w:widowControl w:val="0"/>
              <w:kinsoku/>
              <w:wordWrap/>
              <w:overflowPunct/>
              <w:topLinePunct/>
              <w:autoSpaceDE w:val="0"/>
              <w:autoSpaceDN/>
              <w:bidi w:val="0"/>
              <w:adjustRightInd w:val="0"/>
              <w:snapToGrid w:val="0"/>
              <w:spacing w:line="38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持有效身份证件（名称：</w:t>
            </w:r>
            <w:r>
              <w:rPr>
                <w:rFonts w:hint="eastAsia" w:ascii="仿宋_GB2312" w:hAnsi="仿宋_GB2312" w:eastAsia="仿宋_GB2312" w:cs="仿宋_GB2312"/>
                <w:snapToGrid w:val="0"/>
                <w:color w:val="000000"/>
                <w:spacing w:val="0"/>
                <w:kern w:val="0"/>
                <w:sz w:val="22"/>
                <w:szCs w:val="22"/>
                <w:u w:val="single"/>
              </w:rPr>
              <w:t xml:space="preserve">          </w:t>
            </w:r>
            <w:r>
              <w:rPr>
                <w:rFonts w:hint="eastAsia" w:ascii="仿宋_GB2312" w:hAnsi="仿宋_GB2312" w:eastAsia="仿宋_GB2312" w:cs="仿宋_GB2312"/>
                <w:snapToGrid w:val="0"/>
                <w:color w:val="000000"/>
                <w:spacing w:val="0"/>
                <w:kern w:val="0"/>
                <w:sz w:val="22"/>
                <w:szCs w:val="22"/>
              </w:rPr>
              <w:t xml:space="preserve">号码： </w:t>
            </w:r>
            <w:r>
              <w:rPr>
                <w:rFonts w:hint="eastAsia" w:ascii="仿宋_GB2312" w:hAnsi="仿宋_GB2312" w:eastAsia="仿宋_GB2312" w:cs="仿宋_GB2312"/>
                <w:snapToGrid w:val="0"/>
                <w:color w:val="000000"/>
                <w:spacing w:val="0"/>
                <w:kern w:val="0"/>
                <w:sz w:val="22"/>
                <w:szCs w:val="22"/>
                <w:u w:val="single"/>
              </w:rPr>
              <w:t xml:space="preserve">    </w:t>
            </w:r>
            <w:r>
              <w:rPr>
                <w:rFonts w:hint="eastAsia" w:ascii="仿宋_GB2312" w:hAnsi="仿宋_GB2312" w:eastAsia="仿宋_GB2312" w:cs="仿宋_GB2312"/>
                <w:snapToGrid w:val="0"/>
                <w:color w:val="000000"/>
                <w:spacing w:val="0"/>
                <w:kern w:val="0"/>
                <w:sz w:val="22"/>
                <w:szCs w:val="22"/>
                <w:u w:val="single"/>
                <w:lang w:val="en-US" w:eastAsia="zh-CN"/>
              </w:rPr>
              <w:t xml:space="preserve">         </w:t>
            </w:r>
            <w:r>
              <w:rPr>
                <w:rFonts w:hint="eastAsia" w:ascii="仿宋_GB2312" w:hAnsi="仿宋_GB2312" w:eastAsia="仿宋_GB2312" w:cs="仿宋_GB2312"/>
                <w:snapToGrid w:val="0"/>
                <w:color w:val="000000"/>
                <w:spacing w:val="0"/>
                <w:kern w:val="0"/>
                <w:sz w:val="22"/>
                <w:szCs w:val="22"/>
                <w:u w:val="single"/>
              </w:rPr>
              <w:t xml:space="preserve">     ）</w:t>
            </w:r>
            <w:r>
              <w:rPr>
                <w:rFonts w:hint="eastAsia" w:ascii="仿宋_GB2312" w:hAnsi="仿宋_GB2312" w:eastAsia="仿宋_GB2312" w:cs="仿宋_GB2312"/>
                <w:snapToGrid w:val="0"/>
                <w:color w:val="000000"/>
                <w:spacing w:val="0"/>
                <w:kern w:val="0"/>
                <w:sz w:val="22"/>
                <w:szCs w:val="22"/>
              </w:rPr>
              <w:t>于</w:t>
            </w:r>
            <w:r>
              <w:rPr>
                <w:rFonts w:hint="eastAsia" w:ascii="仿宋_GB2312" w:hAnsi="仿宋_GB2312" w:eastAsia="仿宋_GB2312" w:cs="仿宋_GB2312"/>
                <w:snapToGrid w:val="0"/>
                <w:color w:val="000000"/>
                <w:spacing w:val="0"/>
                <w:kern w:val="0"/>
                <w:sz w:val="22"/>
                <w:szCs w:val="22"/>
                <w:u w:val="single"/>
              </w:rPr>
              <w:t xml:space="preserve">     </w:t>
            </w:r>
            <w:r>
              <w:rPr>
                <w:rFonts w:hint="eastAsia" w:ascii="仿宋_GB2312" w:hAnsi="仿宋_GB2312" w:eastAsia="仿宋_GB2312" w:cs="仿宋_GB2312"/>
                <w:snapToGrid w:val="0"/>
                <w:color w:val="000000"/>
                <w:spacing w:val="0"/>
                <w:kern w:val="0"/>
                <w:sz w:val="22"/>
                <w:szCs w:val="22"/>
              </w:rPr>
              <w:t>年</w:t>
            </w:r>
            <w:r>
              <w:rPr>
                <w:rFonts w:hint="eastAsia" w:ascii="仿宋_GB2312" w:hAnsi="仿宋_GB2312" w:eastAsia="仿宋_GB2312" w:cs="仿宋_GB2312"/>
                <w:snapToGrid w:val="0"/>
                <w:color w:val="000000"/>
                <w:spacing w:val="0"/>
                <w:kern w:val="0"/>
                <w:sz w:val="22"/>
                <w:szCs w:val="22"/>
                <w:u w:val="single"/>
              </w:rPr>
              <w:t xml:space="preserve">   </w:t>
            </w:r>
            <w:r>
              <w:rPr>
                <w:rFonts w:hint="eastAsia" w:ascii="仿宋_GB2312" w:hAnsi="仿宋_GB2312" w:eastAsia="仿宋_GB2312" w:cs="仿宋_GB2312"/>
                <w:snapToGrid w:val="0"/>
                <w:color w:val="000000"/>
                <w:spacing w:val="0"/>
                <w:kern w:val="0"/>
                <w:sz w:val="22"/>
                <w:szCs w:val="22"/>
              </w:rPr>
              <w:t>月</w:t>
            </w:r>
            <w:r>
              <w:rPr>
                <w:rFonts w:hint="eastAsia" w:ascii="仿宋_GB2312" w:hAnsi="仿宋_GB2312" w:eastAsia="仿宋_GB2312" w:cs="仿宋_GB2312"/>
                <w:snapToGrid w:val="0"/>
                <w:color w:val="000000"/>
                <w:spacing w:val="0"/>
                <w:kern w:val="0"/>
                <w:sz w:val="22"/>
                <w:szCs w:val="22"/>
                <w:u w:val="single"/>
              </w:rPr>
              <w:t xml:space="preserve">   </w:t>
            </w:r>
            <w:r>
              <w:rPr>
                <w:rFonts w:hint="eastAsia" w:ascii="仿宋_GB2312" w:hAnsi="仿宋_GB2312" w:eastAsia="仿宋_GB2312" w:cs="仿宋_GB2312"/>
                <w:snapToGrid w:val="0"/>
                <w:color w:val="000000"/>
                <w:spacing w:val="0"/>
                <w:kern w:val="0"/>
                <w:sz w:val="22"/>
                <w:szCs w:val="22"/>
              </w:rPr>
              <w:t>日送诊的疑似精神障碍患者（身份证号：</w:t>
            </w:r>
            <w:r>
              <w:rPr>
                <w:rFonts w:hint="eastAsia" w:ascii="仿宋_GB2312" w:hAnsi="仿宋_GB2312" w:eastAsia="仿宋_GB2312" w:cs="仿宋_GB2312"/>
                <w:snapToGrid w:val="0"/>
                <w:color w:val="000000"/>
                <w:spacing w:val="0"/>
                <w:kern w:val="0"/>
                <w:sz w:val="22"/>
                <w:szCs w:val="22"/>
                <w:u w:val="single"/>
              </w:rPr>
              <w:t xml:space="preserve">                    </w:t>
            </w:r>
            <w:r>
              <w:rPr>
                <w:rFonts w:hint="eastAsia" w:ascii="仿宋_GB2312" w:hAnsi="仿宋_GB2312" w:eastAsia="仿宋_GB2312" w:cs="仿宋_GB2312"/>
                <w:snapToGrid w:val="0"/>
                <w:color w:val="000000"/>
                <w:spacing w:val="0"/>
                <w:kern w:val="0"/>
                <w:sz w:val="22"/>
                <w:szCs w:val="22"/>
              </w:rPr>
              <w:t>），符合《中华人民共和国精神卫生法》第二十八条第二款规定的“疑似精神障碍患者发生伤害自身、危害他人安全的行为，或者有伤害自身、危害他人安全的危险的，其近亲属，所在单位，当地公安机关应当立即采取措施予以制止，并将其送往医疗机构进行精神障碍诊断”所规定的情形。经接诊医生</w:t>
            </w:r>
            <w:r>
              <w:rPr>
                <w:rFonts w:hint="eastAsia" w:ascii="仿宋_GB2312" w:hAnsi="仿宋_GB2312" w:eastAsia="仿宋_GB2312" w:cs="仿宋_GB2312"/>
                <w:snapToGrid w:val="0"/>
                <w:color w:val="000000"/>
                <w:spacing w:val="0"/>
                <w:kern w:val="0"/>
                <w:sz w:val="22"/>
                <w:szCs w:val="22"/>
                <w:u w:val="single"/>
              </w:rPr>
              <w:t xml:space="preserve">       </w:t>
            </w:r>
            <w:r>
              <w:rPr>
                <w:rFonts w:hint="eastAsia" w:ascii="仿宋_GB2312" w:hAnsi="仿宋_GB2312" w:eastAsia="仿宋_GB2312" w:cs="仿宋_GB2312"/>
                <w:snapToGrid w:val="0"/>
                <w:color w:val="000000"/>
                <w:spacing w:val="0"/>
                <w:kern w:val="0"/>
                <w:sz w:val="22"/>
                <w:szCs w:val="22"/>
                <w:u w:val="single"/>
                <w:lang w:val="en-US" w:eastAsia="zh-CN"/>
              </w:rPr>
              <w:t xml:space="preserve"> </w:t>
            </w:r>
            <w:r>
              <w:rPr>
                <w:rFonts w:hint="eastAsia" w:ascii="仿宋_GB2312" w:hAnsi="仿宋_GB2312" w:eastAsia="仿宋_GB2312" w:cs="仿宋_GB2312"/>
                <w:snapToGrid w:val="0"/>
                <w:color w:val="000000"/>
                <w:spacing w:val="0"/>
                <w:kern w:val="0"/>
                <w:sz w:val="22"/>
                <w:szCs w:val="22"/>
                <w:u w:val="single"/>
              </w:rPr>
              <w:t xml:space="preserve">   </w:t>
            </w:r>
            <w:r>
              <w:rPr>
                <w:rFonts w:hint="eastAsia" w:ascii="仿宋_GB2312" w:hAnsi="仿宋_GB2312" w:eastAsia="仿宋_GB2312" w:cs="仿宋_GB2312"/>
                <w:snapToGrid w:val="0"/>
                <w:color w:val="000000"/>
                <w:spacing w:val="0"/>
                <w:kern w:val="0"/>
                <w:sz w:val="22"/>
                <w:szCs w:val="22"/>
              </w:rPr>
              <w:t>检查评估后，认为需要留院观察以确定诊断，再决定下一步的处理。</w:t>
            </w:r>
          </w:p>
        </w:tc>
      </w:tr>
      <w:tr w14:paraId="553D4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1" w:hRule="atLeast"/>
          <w:jc w:val="center"/>
        </w:trPr>
        <w:tc>
          <w:tcPr>
            <w:tcW w:w="9307" w:type="dxa"/>
            <w:vAlign w:val="center"/>
          </w:tcPr>
          <w:p w14:paraId="3600A40B">
            <w:pPr>
              <w:keepNext w:val="0"/>
              <w:keepLines w:val="0"/>
              <w:pageBreakBefore w:val="0"/>
              <w:widowControl w:val="0"/>
              <w:kinsoku/>
              <w:wordWrap/>
              <w:overflowPunct/>
              <w:topLinePunct/>
              <w:autoSpaceDE w:val="0"/>
              <w:autoSpaceDN/>
              <w:bidi w:val="0"/>
              <w:adjustRightInd w:val="0"/>
              <w:snapToGrid w:val="0"/>
              <w:spacing w:line="38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医院现告知您为患者办理紧急住院观察手续，并告知如下：</w:t>
            </w:r>
          </w:p>
          <w:p w14:paraId="34BBC138">
            <w:pPr>
              <w:keepNext w:val="0"/>
              <w:keepLines w:val="0"/>
              <w:pageBreakBefore w:val="0"/>
              <w:widowControl w:val="0"/>
              <w:kinsoku/>
              <w:wordWrap/>
              <w:overflowPunct/>
              <w:topLinePunct/>
              <w:autoSpaceDE w:val="0"/>
              <w:autoSpaceDN/>
              <w:bidi w:val="0"/>
              <w:adjustRightInd w:val="0"/>
              <w:snapToGrid w:val="0"/>
              <w:spacing w:line="38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Times New Roman" w:hAnsi="Times New Roman" w:eastAsia="仿宋_GB2312" w:cs="仿宋_GB2312"/>
                <w:snapToGrid w:val="0"/>
                <w:color w:val="000000"/>
                <w:spacing w:val="0"/>
                <w:kern w:val="0"/>
                <w:sz w:val="22"/>
                <w:szCs w:val="22"/>
              </w:rPr>
              <w:t>1</w:t>
            </w:r>
            <w:r>
              <w:rPr>
                <w:rFonts w:hint="eastAsia" w:ascii="仿宋_GB2312" w:hAnsi="仿宋_GB2312" w:eastAsia="仿宋_GB2312" w:cs="仿宋_GB2312"/>
                <w:snapToGrid w:val="0"/>
                <w:color w:val="000000"/>
                <w:spacing w:val="0"/>
                <w:kern w:val="0"/>
                <w:sz w:val="22"/>
                <w:szCs w:val="22"/>
              </w:rPr>
              <w:t>.您应尽快通知疑似精神障碍患者的配偶、父母、成年子女等亲属与医院联系；如果亲属在作出诊断之前未与我联系，我院将向您出示诊断结论，并由您负责办理相应的后续手续。</w:t>
            </w:r>
          </w:p>
          <w:p w14:paraId="6B522220">
            <w:pPr>
              <w:keepNext w:val="0"/>
              <w:keepLines w:val="0"/>
              <w:pageBreakBefore w:val="0"/>
              <w:widowControl w:val="0"/>
              <w:kinsoku/>
              <w:wordWrap/>
              <w:overflowPunct/>
              <w:topLinePunct/>
              <w:autoSpaceDE w:val="0"/>
              <w:autoSpaceDN/>
              <w:bidi w:val="0"/>
              <w:adjustRightInd w:val="0"/>
              <w:snapToGrid w:val="0"/>
              <w:spacing w:line="38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Times New Roman" w:hAnsi="Times New Roman" w:eastAsia="仿宋_GB2312" w:cs="仿宋_GB2312"/>
                <w:snapToGrid w:val="0"/>
                <w:color w:val="000000"/>
                <w:spacing w:val="0"/>
                <w:kern w:val="0"/>
                <w:sz w:val="22"/>
                <w:szCs w:val="22"/>
              </w:rPr>
              <w:t>2</w:t>
            </w:r>
            <w:r>
              <w:rPr>
                <w:rFonts w:hint="eastAsia" w:ascii="仿宋_GB2312" w:hAnsi="仿宋_GB2312" w:eastAsia="仿宋_GB2312" w:cs="仿宋_GB2312"/>
                <w:snapToGrid w:val="0"/>
                <w:color w:val="000000"/>
                <w:spacing w:val="0"/>
                <w:kern w:val="0"/>
                <w:sz w:val="22"/>
                <w:szCs w:val="22"/>
              </w:rPr>
              <w:t>.紧急住院观察期一般不超过</w:t>
            </w:r>
            <w:r>
              <w:rPr>
                <w:rFonts w:hint="eastAsia" w:ascii="Times New Roman" w:hAnsi="Times New Roman" w:eastAsia="仿宋_GB2312" w:cs="仿宋_GB2312"/>
                <w:snapToGrid w:val="0"/>
                <w:color w:val="000000"/>
                <w:spacing w:val="0"/>
                <w:kern w:val="0"/>
                <w:sz w:val="22"/>
                <w:szCs w:val="22"/>
              </w:rPr>
              <w:t>72</w:t>
            </w:r>
            <w:r>
              <w:rPr>
                <w:rFonts w:hint="eastAsia" w:ascii="仿宋_GB2312" w:hAnsi="仿宋_GB2312" w:eastAsia="仿宋_GB2312" w:cs="仿宋_GB2312"/>
                <w:snapToGrid w:val="0"/>
                <w:color w:val="000000"/>
                <w:spacing w:val="0"/>
                <w:kern w:val="0"/>
                <w:sz w:val="22"/>
                <w:szCs w:val="22"/>
              </w:rPr>
              <w:t>小时，疑难</w:t>
            </w:r>
            <w:r>
              <w:rPr>
                <w:rFonts w:hint="eastAsia" w:ascii="仿宋_GB2312" w:hAnsi="仿宋_GB2312" w:eastAsia="仿宋_GB2312" w:cs="仿宋_GB2312"/>
                <w:snapToGrid w:val="0"/>
                <w:color w:val="000000"/>
                <w:spacing w:val="0"/>
                <w:kern w:val="0"/>
                <w:sz w:val="22"/>
                <w:szCs w:val="22"/>
                <w:lang w:val="en-US" w:eastAsia="zh-CN"/>
              </w:rPr>
              <w:t>病</w:t>
            </w:r>
            <w:r>
              <w:rPr>
                <w:rFonts w:hint="eastAsia" w:ascii="仿宋_GB2312" w:hAnsi="仿宋_GB2312" w:eastAsia="仿宋_GB2312" w:cs="仿宋_GB2312"/>
                <w:snapToGrid w:val="0"/>
                <w:color w:val="000000"/>
                <w:spacing w:val="0"/>
                <w:kern w:val="0"/>
                <w:sz w:val="22"/>
                <w:szCs w:val="22"/>
              </w:rPr>
              <w:t>例可延长至</w:t>
            </w:r>
            <w:r>
              <w:rPr>
                <w:rFonts w:hint="eastAsia" w:ascii="Times New Roman" w:hAnsi="Times New Roman" w:eastAsia="仿宋_GB2312" w:cs="仿宋_GB2312"/>
                <w:snapToGrid w:val="0"/>
                <w:color w:val="000000"/>
                <w:spacing w:val="0"/>
                <w:kern w:val="0"/>
                <w:sz w:val="22"/>
                <w:szCs w:val="22"/>
              </w:rPr>
              <w:t>14</w:t>
            </w:r>
            <w:r>
              <w:rPr>
                <w:rFonts w:hint="eastAsia" w:ascii="仿宋_GB2312" w:hAnsi="仿宋_GB2312" w:eastAsia="仿宋_GB2312" w:cs="仿宋_GB2312"/>
                <w:snapToGrid w:val="0"/>
                <w:color w:val="000000"/>
                <w:spacing w:val="0"/>
                <w:kern w:val="0"/>
                <w:sz w:val="22"/>
                <w:szCs w:val="22"/>
              </w:rPr>
              <w:t>天，目的是对疑似精神障碍患者作出诊断。此期间经医生评估，可能有以下结论和后续处理措施：</w:t>
            </w:r>
          </w:p>
          <w:p w14:paraId="00E9D472">
            <w:pPr>
              <w:keepNext w:val="0"/>
              <w:keepLines w:val="0"/>
              <w:pageBreakBefore w:val="0"/>
              <w:widowControl w:val="0"/>
              <w:kinsoku/>
              <w:wordWrap/>
              <w:overflowPunct/>
              <w:topLinePunct/>
              <w:autoSpaceDE w:val="0"/>
              <w:autoSpaceDN/>
              <w:bidi w:val="0"/>
              <w:adjustRightInd w:val="0"/>
              <w:snapToGrid w:val="0"/>
              <w:spacing w:line="38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w:t>
            </w:r>
            <w:r>
              <w:rPr>
                <w:rFonts w:hint="eastAsia" w:ascii="Times New Roman" w:hAnsi="Times New Roman" w:eastAsia="仿宋_GB2312" w:cs="仿宋_GB2312"/>
                <w:snapToGrid w:val="0"/>
                <w:color w:val="000000"/>
                <w:spacing w:val="0"/>
                <w:kern w:val="0"/>
                <w:sz w:val="22"/>
                <w:szCs w:val="22"/>
              </w:rPr>
              <w:t>1</w:t>
            </w:r>
            <w:r>
              <w:rPr>
                <w:rFonts w:hint="eastAsia" w:ascii="仿宋_GB2312" w:hAnsi="仿宋_GB2312" w:eastAsia="仿宋_GB2312" w:cs="仿宋_GB2312"/>
                <w:snapToGrid w:val="0"/>
                <w:color w:val="000000"/>
                <w:spacing w:val="0"/>
                <w:kern w:val="0"/>
                <w:sz w:val="22"/>
                <w:szCs w:val="22"/>
              </w:rPr>
              <w:t>）不能诊断为严重精神障碍，或诊断为严重精神障碍但不需要非自愿住院治疗的，请您尽快为住院人办理出院手续，或者协助医院通知住院人的监护人尽快到医院办理出院手续，否则我院无权阻止住院人自行办理出院手续。</w:t>
            </w:r>
          </w:p>
          <w:p w14:paraId="36E5CCA2">
            <w:pPr>
              <w:keepNext w:val="0"/>
              <w:keepLines w:val="0"/>
              <w:pageBreakBefore w:val="0"/>
              <w:widowControl w:val="0"/>
              <w:kinsoku/>
              <w:wordWrap/>
              <w:overflowPunct/>
              <w:topLinePunct/>
              <w:autoSpaceDE w:val="0"/>
              <w:autoSpaceDN/>
              <w:bidi w:val="0"/>
              <w:adjustRightInd w:val="0"/>
              <w:snapToGrid w:val="0"/>
              <w:spacing w:line="38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w:t>
            </w:r>
            <w:r>
              <w:rPr>
                <w:rFonts w:hint="eastAsia" w:ascii="Times New Roman" w:hAnsi="Times New Roman" w:eastAsia="仿宋_GB2312" w:cs="仿宋_GB2312"/>
                <w:snapToGrid w:val="0"/>
                <w:color w:val="000000"/>
                <w:spacing w:val="0"/>
                <w:kern w:val="0"/>
                <w:sz w:val="22"/>
                <w:szCs w:val="22"/>
              </w:rPr>
              <w:t>2</w:t>
            </w:r>
            <w:r>
              <w:rPr>
                <w:rFonts w:hint="eastAsia" w:ascii="仿宋_GB2312" w:hAnsi="仿宋_GB2312" w:eastAsia="仿宋_GB2312" w:cs="仿宋_GB2312"/>
                <w:snapToGrid w:val="0"/>
                <w:color w:val="000000"/>
                <w:spacing w:val="0"/>
                <w:kern w:val="0"/>
                <w:sz w:val="22"/>
                <w:szCs w:val="22"/>
              </w:rPr>
              <w:t>）诊断为严重精神障碍，且需要非自愿住院治疗，符合《中华人民共和国精神卫生法》第三十条第二款第一项情况的患者，您应通知患者的监护人来我院办理非自愿住院治疗手续。监护人不同意患者住院治疗的，应当办理出院手续，并对在家居住的患者做好看护管理。</w:t>
            </w:r>
          </w:p>
          <w:p w14:paraId="1FBCD12F">
            <w:pPr>
              <w:keepNext w:val="0"/>
              <w:keepLines w:val="0"/>
              <w:pageBreakBefore w:val="0"/>
              <w:widowControl w:val="0"/>
              <w:kinsoku/>
              <w:wordWrap/>
              <w:overflowPunct/>
              <w:topLinePunct/>
              <w:autoSpaceDE w:val="0"/>
              <w:autoSpaceDN/>
              <w:bidi w:val="0"/>
              <w:adjustRightInd w:val="0"/>
              <w:snapToGrid w:val="0"/>
              <w:spacing w:line="38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w:t>
            </w:r>
            <w:r>
              <w:rPr>
                <w:rFonts w:hint="eastAsia" w:ascii="Times New Roman" w:hAnsi="Times New Roman" w:eastAsia="仿宋_GB2312" w:cs="仿宋_GB2312"/>
                <w:snapToGrid w:val="0"/>
                <w:color w:val="000000"/>
                <w:spacing w:val="0"/>
                <w:kern w:val="0"/>
                <w:sz w:val="22"/>
                <w:szCs w:val="22"/>
              </w:rPr>
              <w:t>3</w:t>
            </w:r>
            <w:r>
              <w:rPr>
                <w:rFonts w:hint="eastAsia" w:ascii="仿宋_GB2312" w:hAnsi="仿宋_GB2312" w:eastAsia="仿宋_GB2312" w:cs="仿宋_GB2312"/>
                <w:snapToGrid w:val="0"/>
                <w:color w:val="000000"/>
                <w:spacing w:val="0"/>
                <w:kern w:val="0"/>
                <w:sz w:val="22"/>
                <w:szCs w:val="22"/>
              </w:rPr>
              <w:t>）诊断为严重精神障碍，且需要非自愿住院治疗，符合《中华人民共和国精神卫生法》第三十条第二款第二项情况的患者，您应通知患者的监护人来我院办理非自愿住院治疗手续。</w:t>
            </w:r>
          </w:p>
          <w:p w14:paraId="62933A45">
            <w:pPr>
              <w:keepNext w:val="0"/>
              <w:keepLines w:val="0"/>
              <w:pageBreakBefore w:val="0"/>
              <w:widowControl w:val="0"/>
              <w:kinsoku/>
              <w:wordWrap/>
              <w:overflowPunct/>
              <w:topLinePunct/>
              <w:autoSpaceDE w:val="0"/>
              <w:autoSpaceDN/>
              <w:bidi w:val="0"/>
              <w:adjustRightInd w:val="0"/>
              <w:snapToGrid w:val="0"/>
              <w:spacing w:line="38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Times New Roman" w:hAnsi="Times New Roman" w:eastAsia="仿宋_GB2312" w:cs="仿宋_GB2312"/>
                <w:snapToGrid w:val="0"/>
                <w:color w:val="000000"/>
                <w:spacing w:val="0"/>
                <w:kern w:val="0"/>
                <w:sz w:val="22"/>
                <w:szCs w:val="22"/>
              </w:rPr>
              <w:t>3</w:t>
            </w:r>
            <w:r>
              <w:rPr>
                <w:rFonts w:hint="eastAsia" w:ascii="仿宋_GB2312" w:hAnsi="仿宋_GB2312" w:eastAsia="仿宋_GB2312" w:cs="仿宋_GB2312"/>
                <w:snapToGrid w:val="0"/>
                <w:color w:val="000000"/>
                <w:spacing w:val="0"/>
                <w:kern w:val="0"/>
                <w:sz w:val="22"/>
                <w:szCs w:val="22"/>
              </w:rPr>
              <w:t>.紧急入院观察期间同样需要支付相应的住院、治疗等费用。</w:t>
            </w:r>
          </w:p>
        </w:tc>
      </w:tr>
      <w:tr w14:paraId="59AE89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4" w:hRule="atLeast"/>
          <w:jc w:val="center"/>
        </w:trPr>
        <w:tc>
          <w:tcPr>
            <w:tcW w:w="9307" w:type="dxa"/>
            <w:vAlign w:val="center"/>
          </w:tcPr>
          <w:p w14:paraId="7914F395">
            <w:pPr>
              <w:keepNext w:val="0"/>
              <w:keepLines w:val="0"/>
              <w:pageBreakBefore w:val="0"/>
              <w:widowControl w:val="0"/>
              <w:kinsoku/>
              <w:wordWrap/>
              <w:overflowPunct/>
              <w:topLinePunct/>
              <w:autoSpaceDE w:val="0"/>
              <w:autoSpaceDN/>
              <w:bidi w:val="0"/>
              <w:adjustRightInd w:val="0"/>
              <w:snapToGrid w:val="0"/>
              <w:spacing w:line="38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送诊人意见：上述内容我已知晓并理解，我作为疑似精神障碍患者</w:t>
            </w:r>
            <w:r>
              <w:rPr>
                <w:rFonts w:hint="eastAsia" w:ascii="仿宋_GB2312" w:hAnsi="仿宋_GB2312" w:eastAsia="仿宋_GB2312" w:cs="仿宋_GB2312"/>
                <w:snapToGrid w:val="0"/>
                <w:color w:val="000000"/>
                <w:spacing w:val="0"/>
                <w:kern w:val="0"/>
                <w:sz w:val="22"/>
                <w:szCs w:val="22"/>
                <w:u w:val="single"/>
              </w:rPr>
              <w:t xml:space="preserve">  </w:t>
            </w:r>
            <w:r>
              <w:rPr>
                <w:rFonts w:hint="eastAsia" w:ascii="仿宋_GB2312" w:hAnsi="仿宋_GB2312" w:eastAsia="仿宋_GB2312" w:cs="仿宋_GB2312"/>
                <w:snapToGrid w:val="0"/>
                <w:color w:val="000000"/>
                <w:spacing w:val="0"/>
                <w:kern w:val="0"/>
                <w:sz w:val="22"/>
                <w:szCs w:val="22"/>
                <w:u w:val="single"/>
                <w:lang w:val="en-US" w:eastAsia="zh-CN"/>
              </w:rPr>
              <w:t xml:space="preserve">       </w:t>
            </w:r>
            <w:r>
              <w:rPr>
                <w:rFonts w:hint="eastAsia" w:ascii="仿宋_GB2312" w:hAnsi="仿宋_GB2312" w:eastAsia="仿宋_GB2312" w:cs="仿宋_GB2312"/>
                <w:snapToGrid w:val="0"/>
                <w:color w:val="000000"/>
                <w:spacing w:val="0"/>
                <w:kern w:val="0"/>
                <w:sz w:val="22"/>
                <w:szCs w:val="22"/>
                <w:u w:val="single"/>
              </w:rPr>
              <w:t xml:space="preserve">  </w:t>
            </w:r>
            <w:r>
              <w:rPr>
                <w:rFonts w:hint="eastAsia" w:ascii="仿宋_GB2312" w:hAnsi="仿宋_GB2312" w:eastAsia="仿宋_GB2312" w:cs="仿宋_GB2312"/>
                <w:snapToGrid w:val="0"/>
                <w:color w:val="000000"/>
                <w:spacing w:val="0"/>
                <w:kern w:val="0"/>
                <w:sz w:val="22"/>
                <w:szCs w:val="22"/>
              </w:rPr>
              <w:t>的（□近亲属  □单位送诊人  □人民警察）：</w:t>
            </w:r>
          </w:p>
          <w:p w14:paraId="59B50806">
            <w:pPr>
              <w:keepNext w:val="0"/>
              <w:keepLines w:val="0"/>
              <w:pageBreakBefore w:val="0"/>
              <w:widowControl w:val="0"/>
              <w:kinsoku/>
              <w:wordWrap/>
              <w:overflowPunct/>
              <w:topLinePunct/>
              <w:autoSpaceDE w:val="0"/>
              <w:autoSpaceDN/>
              <w:bidi w:val="0"/>
              <w:adjustRightInd w:val="0"/>
              <w:snapToGrid w:val="0"/>
              <w:spacing w:line="38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□同意患者接受紧急观察住院</w:t>
            </w:r>
          </w:p>
          <w:p w14:paraId="350F3864">
            <w:pPr>
              <w:keepNext w:val="0"/>
              <w:keepLines w:val="0"/>
              <w:pageBreakBefore w:val="0"/>
              <w:widowControl w:val="0"/>
              <w:kinsoku/>
              <w:wordWrap/>
              <w:overflowPunct/>
              <w:topLinePunct/>
              <w:autoSpaceDE w:val="0"/>
              <w:autoSpaceDN/>
              <w:bidi w:val="0"/>
              <w:adjustRightInd w:val="0"/>
              <w:snapToGrid w:val="0"/>
              <w:spacing w:line="38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□不同意患者接受紧急观察住院</w:t>
            </w:r>
          </w:p>
          <w:p w14:paraId="23E32287">
            <w:pPr>
              <w:keepNext w:val="0"/>
              <w:keepLines w:val="0"/>
              <w:pageBreakBefore w:val="0"/>
              <w:widowControl w:val="0"/>
              <w:kinsoku/>
              <w:wordWrap/>
              <w:overflowPunct/>
              <w:topLinePunct/>
              <w:autoSpaceDE w:val="0"/>
              <w:autoSpaceDN/>
              <w:bidi w:val="0"/>
              <w:adjustRightInd w:val="0"/>
              <w:snapToGrid w:val="0"/>
              <w:spacing w:line="380" w:lineRule="exact"/>
              <w:ind w:firstLine="440" w:firstLineChars="200"/>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 xml:space="preserve">送诊人签名：                          </w:t>
            </w:r>
            <w:r>
              <w:rPr>
                <w:rFonts w:hint="eastAsia" w:ascii="仿宋_GB2312" w:hAnsi="仿宋_GB2312" w:eastAsia="仿宋_GB2312" w:cs="仿宋_GB2312"/>
                <w:snapToGrid w:val="0"/>
                <w:color w:val="000000"/>
                <w:spacing w:val="0"/>
                <w:kern w:val="0"/>
                <w:sz w:val="22"/>
                <w:szCs w:val="22"/>
                <w:lang w:val="en-US" w:eastAsia="zh-CN"/>
              </w:rPr>
              <w:t xml:space="preserve"> </w:t>
            </w:r>
            <w:r>
              <w:rPr>
                <w:rFonts w:hint="eastAsia" w:ascii="仿宋_GB2312" w:hAnsi="仿宋_GB2312" w:eastAsia="仿宋_GB2312" w:cs="仿宋_GB2312"/>
                <w:snapToGrid w:val="0"/>
                <w:color w:val="000000"/>
                <w:spacing w:val="0"/>
                <w:kern w:val="0"/>
                <w:sz w:val="22"/>
                <w:szCs w:val="22"/>
              </w:rPr>
              <w:t xml:space="preserve">  日期：  </w:t>
            </w:r>
            <w:r>
              <w:rPr>
                <w:rFonts w:hint="eastAsia" w:ascii="仿宋_GB2312" w:hAnsi="仿宋_GB2312" w:eastAsia="仿宋_GB2312" w:cs="仿宋_GB2312"/>
                <w:snapToGrid w:val="0"/>
                <w:color w:val="000000"/>
                <w:spacing w:val="0"/>
                <w:kern w:val="0"/>
                <w:sz w:val="22"/>
                <w:szCs w:val="22"/>
                <w:lang w:val="en-US" w:eastAsia="zh-CN"/>
              </w:rPr>
              <w:t xml:space="preserve"> </w:t>
            </w:r>
            <w:r>
              <w:rPr>
                <w:rFonts w:hint="eastAsia" w:ascii="仿宋_GB2312" w:hAnsi="仿宋_GB2312" w:eastAsia="仿宋_GB2312" w:cs="仿宋_GB2312"/>
                <w:snapToGrid w:val="0"/>
                <w:color w:val="000000"/>
                <w:spacing w:val="0"/>
                <w:kern w:val="0"/>
                <w:sz w:val="22"/>
                <w:szCs w:val="22"/>
              </w:rPr>
              <w:t xml:space="preserve">     年      月     日</w:t>
            </w:r>
          </w:p>
          <w:p w14:paraId="24035BA9">
            <w:pPr>
              <w:keepNext w:val="0"/>
              <w:keepLines w:val="0"/>
              <w:pageBreakBefore w:val="0"/>
              <w:widowControl w:val="0"/>
              <w:kinsoku/>
              <w:wordWrap/>
              <w:overflowPunct/>
              <w:topLinePunct/>
              <w:autoSpaceDE w:val="0"/>
              <w:autoSpaceDN/>
              <w:bidi w:val="0"/>
              <w:adjustRightInd w:val="0"/>
              <w:snapToGrid w:val="0"/>
              <w:spacing w:line="380" w:lineRule="exact"/>
              <w:ind w:firstLine="660" w:firstLineChars="300"/>
              <w:textAlignment w:val="baseline"/>
              <w:rPr>
                <w:rFonts w:hint="eastAsia" w:ascii="仿宋_GB2312" w:hAnsi="仿宋_GB2312" w:eastAsia="仿宋_GB2312" w:cs="仿宋_GB2312"/>
                <w:snapToGrid w:val="0"/>
                <w:color w:val="000000"/>
                <w:spacing w:val="0"/>
                <w:kern w:val="0"/>
                <w:sz w:val="22"/>
                <w:szCs w:val="22"/>
              </w:rPr>
            </w:pPr>
            <w:r>
              <w:rPr>
                <w:rFonts w:hint="eastAsia" w:ascii="仿宋_GB2312" w:hAnsi="仿宋_GB2312" w:eastAsia="仿宋_GB2312" w:cs="仿宋_GB2312"/>
                <w:snapToGrid w:val="0"/>
                <w:color w:val="000000"/>
                <w:spacing w:val="0"/>
                <w:kern w:val="0"/>
                <w:sz w:val="22"/>
                <w:szCs w:val="22"/>
              </w:rPr>
              <w:t xml:space="preserve">医生签名：                             日期：   </w:t>
            </w:r>
            <w:r>
              <w:rPr>
                <w:rFonts w:hint="eastAsia" w:ascii="仿宋_GB2312" w:hAnsi="仿宋_GB2312" w:eastAsia="仿宋_GB2312" w:cs="仿宋_GB2312"/>
                <w:snapToGrid w:val="0"/>
                <w:color w:val="000000"/>
                <w:spacing w:val="0"/>
                <w:kern w:val="0"/>
                <w:sz w:val="22"/>
                <w:szCs w:val="22"/>
                <w:lang w:val="en-US" w:eastAsia="zh-CN"/>
              </w:rPr>
              <w:t xml:space="preserve"> </w:t>
            </w:r>
            <w:r>
              <w:rPr>
                <w:rFonts w:hint="eastAsia" w:ascii="仿宋_GB2312" w:hAnsi="仿宋_GB2312" w:eastAsia="仿宋_GB2312" w:cs="仿宋_GB2312"/>
                <w:snapToGrid w:val="0"/>
                <w:color w:val="000000"/>
                <w:spacing w:val="0"/>
                <w:kern w:val="0"/>
                <w:sz w:val="22"/>
                <w:szCs w:val="22"/>
              </w:rPr>
              <w:t xml:space="preserve">    年      月     日</w:t>
            </w:r>
          </w:p>
        </w:tc>
      </w:tr>
    </w:tbl>
    <w:p w14:paraId="2003BF2F">
      <w:pPr>
        <w:keepNext w:val="0"/>
        <w:keepLines w:val="0"/>
        <w:pageBreakBefore w:val="0"/>
        <w:widowControl w:val="0"/>
        <w:kinsoku/>
        <w:wordWrap/>
        <w:overflowPunct/>
        <w:topLinePunct w:val="0"/>
        <w:autoSpaceDE/>
        <w:autoSpaceDN/>
        <w:bidi w:val="0"/>
        <w:adjustRightInd w:val="0"/>
        <w:snapToGrid w:val="0"/>
        <w:spacing w:line="20" w:lineRule="exact"/>
        <w:ind w:hanging="6"/>
        <w:textAlignment w:val="auto"/>
        <w:rPr>
          <w:rFonts w:hint="eastAsia" w:ascii="宋体" w:hAnsi="宋体" w:eastAsia="仿宋_GB2312"/>
          <w:snapToGrid w:val="0"/>
          <w:spacing w:val="4"/>
          <w:kern w:val="0"/>
          <w:sz w:val="32"/>
          <w:szCs w:val="32"/>
          <w:lang w:eastAsia="zh-CN"/>
        </w:rPr>
      </w:pPr>
    </w:p>
    <w:sectPr>
      <w:pgSz w:w="11906" w:h="16838"/>
      <w:pgMar w:top="1984" w:right="1587" w:bottom="1814" w:left="1587" w:header="851" w:footer="1304"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D1A7F33-A88E-49E5-92A6-FC596EF36C2A}"/>
  </w:font>
  <w:font w:name="黑体">
    <w:panose1 w:val="02010609060101010101"/>
    <w:charset w:val="86"/>
    <w:family w:val="auto"/>
    <w:pitch w:val="default"/>
    <w:sig w:usb0="800002BF" w:usb1="38CF7CFA" w:usb2="00000016" w:usb3="00000000" w:csb0="00040001" w:csb1="00000000"/>
    <w:embedRegular r:id="rId2" w:fontKey="{1AC472A9-95C1-4CA4-8535-3B6BD6ED491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embedRegular r:id="rId3" w:fontKey="{74D7FE92-A460-4055-9D92-87A7D6F8FCD8}"/>
  </w:font>
  <w:font w:name="仿宋_GB2312">
    <w:panose1 w:val="02010609030101010101"/>
    <w:charset w:val="86"/>
    <w:family w:val="modern"/>
    <w:pitch w:val="default"/>
    <w:sig w:usb0="00000001" w:usb1="080E0000" w:usb2="00000000" w:usb3="00000000" w:csb0="00040000" w:csb1="00000000"/>
    <w:embedRegular r:id="rId4" w:fontKey="{80A7540A-3422-4A9F-8261-F9F4F89658E1}"/>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5" w:fontKey="{8BFCA91C-D18A-4139-89B7-95335D493587}"/>
  </w:font>
  <w:font w:name="方正小标宋_GBK">
    <w:panose1 w:val="02000000000000000000"/>
    <w:charset w:val="86"/>
    <w:family w:val="script"/>
    <w:pitch w:val="default"/>
    <w:sig w:usb0="A00002BF" w:usb1="38CF7CFA" w:usb2="00082016" w:usb3="00000000" w:csb0="00040001" w:csb1="00000000"/>
    <w:embedRegular r:id="rId6" w:fontKey="{08F378D6-0702-4FF7-B5C6-DBCA81C920A2}"/>
  </w:font>
  <w:font w:name="方正小标宋简体">
    <w:panose1 w:val="02000000000000000000"/>
    <w:charset w:val="86"/>
    <w:family w:val="script"/>
    <w:pitch w:val="default"/>
    <w:sig w:usb0="00000001" w:usb1="08000000" w:usb2="00000000" w:usb3="00000000" w:csb0="00040000" w:csb1="00000000"/>
    <w:embedRegular r:id="rId7" w:fontKey="{2BB8A31B-0FEE-4191-AE06-539855761451}"/>
  </w:font>
  <w:font w:name="times new roma">
    <w:altName w:val="Times New Roman"/>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8E393">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756F0A">
                          <w:pPr>
                            <w:pStyle w:val="12"/>
                            <w:keepNext w:val="0"/>
                            <w:keepLines w:val="0"/>
                            <w:pageBreakBefore w:val="0"/>
                            <w:widowControl w:val="0"/>
                            <w:kinsoku/>
                            <w:wordWrap/>
                            <w:overflowPunct/>
                            <w:topLinePunct w:val="0"/>
                            <w:autoSpaceDE/>
                            <w:autoSpaceDN/>
                            <w:bidi w:val="0"/>
                            <w:adjustRightInd/>
                            <w:snapToGrid w:val="0"/>
                            <w:ind w:right="210" w:rightChars="1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E756F0A">
                    <w:pPr>
                      <w:pStyle w:val="12"/>
                      <w:keepNext w:val="0"/>
                      <w:keepLines w:val="0"/>
                      <w:pageBreakBefore w:val="0"/>
                      <w:widowControl w:val="0"/>
                      <w:kinsoku/>
                      <w:wordWrap/>
                      <w:overflowPunct/>
                      <w:topLinePunct w:val="0"/>
                      <w:autoSpaceDE/>
                      <w:autoSpaceDN/>
                      <w:bidi w:val="0"/>
                      <w:adjustRightInd/>
                      <w:snapToGrid w:val="0"/>
                      <w:ind w:right="210" w:rightChars="1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7F3F79"/>
    <w:multiLevelType w:val="singleLevel"/>
    <w:tmpl w:val="4C7F3F79"/>
    <w:lvl w:ilvl="0" w:tentative="0">
      <w:start w:val="1"/>
      <w:numFmt w:val="chineseCounting"/>
      <w:suff w:val="nothing"/>
      <w:lvlText w:val="%1、"/>
      <w:lvlJc w:val="left"/>
      <w:rPr>
        <w:rFonts w:hint="eastAsia"/>
      </w:rPr>
    </w:lvl>
  </w:abstractNum>
  <w:abstractNum w:abstractNumId="1">
    <w:nsid w:val="6CEA2025"/>
    <w:multiLevelType w:val="multilevel"/>
    <w:tmpl w:val="6CEA2025"/>
    <w:lvl w:ilvl="0" w:tentative="0">
      <w:start w:val="1"/>
      <w:numFmt w:val="none"/>
      <w:suff w:val="nothing"/>
      <w:lvlText w:val="%1"/>
      <w:lvlJc w:val="left"/>
      <w:pPr>
        <w:ind w:left="0" w:firstLine="0"/>
      </w:pPr>
      <w:rPr>
        <w:rFonts w:hint="default" w:ascii="Times New Roman" w:hAnsi="Times New Roman" w:cs="Times New Roman"/>
        <w:b/>
        <w:i w:val="0"/>
        <w:sz w:val="21"/>
      </w:rPr>
    </w:lvl>
    <w:lvl w:ilvl="1" w:tentative="0">
      <w:start w:val="1"/>
      <w:numFmt w:val="decimal"/>
      <w:pStyle w:val="56"/>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630" w:firstLine="0"/>
      </w:pPr>
      <w:rPr>
        <w:rFonts w:hint="eastAsia" w:ascii="黑体" w:hAnsi="Times New Roman" w:eastAsia="黑体"/>
        <w:b w:val="0"/>
        <w:i w:val="0"/>
        <w:sz w:val="21"/>
      </w:rPr>
    </w:lvl>
    <w:lvl w:ilvl="3" w:tentative="0">
      <w:start w:val="1"/>
      <w:numFmt w:val="decimal"/>
      <w:pStyle w:val="74"/>
      <w:suff w:val="nothing"/>
      <w:lvlText w:val="%1%2.%3.%4　"/>
      <w:lvlJc w:val="left"/>
      <w:pPr>
        <w:ind w:left="0" w:firstLine="0"/>
      </w:pPr>
      <w:rPr>
        <w:rFonts w:hint="eastAsia" w:ascii="黑体" w:hAnsi="Times New Roman" w:eastAsia="黑体"/>
        <w:b w:val="0"/>
        <w:i w:val="0"/>
        <w:sz w:val="21"/>
      </w:rPr>
    </w:lvl>
    <w:lvl w:ilvl="4" w:tentative="0">
      <w:start w:val="1"/>
      <w:numFmt w:val="decimal"/>
      <w:pStyle w:val="53"/>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8"/>
  <w:displayHorizontalDrawingGridEvery w:val="1"/>
  <w:displayVerticalDrawingGridEvery w:val="1"/>
  <w:noPunctuationKerning w:val="1"/>
  <w:characterSpacingControl w:val="doNotCompres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CD3"/>
    <w:rsid w:val="0001796B"/>
    <w:rsid w:val="00024F77"/>
    <w:rsid w:val="00027A3F"/>
    <w:rsid w:val="000307B0"/>
    <w:rsid w:val="0003207E"/>
    <w:rsid w:val="00034C8B"/>
    <w:rsid w:val="00060541"/>
    <w:rsid w:val="00090D49"/>
    <w:rsid w:val="000A7D4D"/>
    <w:rsid w:val="001167DB"/>
    <w:rsid w:val="0013484E"/>
    <w:rsid w:val="001410DD"/>
    <w:rsid w:val="00182910"/>
    <w:rsid w:val="001E230E"/>
    <w:rsid w:val="00212E95"/>
    <w:rsid w:val="00212FD2"/>
    <w:rsid w:val="00220D44"/>
    <w:rsid w:val="002334B3"/>
    <w:rsid w:val="0025318F"/>
    <w:rsid w:val="00274137"/>
    <w:rsid w:val="002778DA"/>
    <w:rsid w:val="002B04AC"/>
    <w:rsid w:val="00325ABD"/>
    <w:rsid w:val="00327E3E"/>
    <w:rsid w:val="00357DDE"/>
    <w:rsid w:val="003628D0"/>
    <w:rsid w:val="003C6377"/>
    <w:rsid w:val="003D54AB"/>
    <w:rsid w:val="003E266E"/>
    <w:rsid w:val="00410CE9"/>
    <w:rsid w:val="004161AE"/>
    <w:rsid w:val="00441794"/>
    <w:rsid w:val="00460BA0"/>
    <w:rsid w:val="004616F4"/>
    <w:rsid w:val="0047423C"/>
    <w:rsid w:val="00474333"/>
    <w:rsid w:val="004756BC"/>
    <w:rsid w:val="00486542"/>
    <w:rsid w:val="004B61F4"/>
    <w:rsid w:val="004D3F3F"/>
    <w:rsid w:val="004F4BE8"/>
    <w:rsid w:val="00507F62"/>
    <w:rsid w:val="0051388F"/>
    <w:rsid w:val="005257D9"/>
    <w:rsid w:val="00543B73"/>
    <w:rsid w:val="00543C84"/>
    <w:rsid w:val="005552EF"/>
    <w:rsid w:val="00557176"/>
    <w:rsid w:val="00585F53"/>
    <w:rsid w:val="005C2853"/>
    <w:rsid w:val="005E591E"/>
    <w:rsid w:val="005F46BF"/>
    <w:rsid w:val="005F6A7D"/>
    <w:rsid w:val="00600945"/>
    <w:rsid w:val="00610093"/>
    <w:rsid w:val="00614596"/>
    <w:rsid w:val="0061587F"/>
    <w:rsid w:val="006235FE"/>
    <w:rsid w:val="00632C21"/>
    <w:rsid w:val="0065607B"/>
    <w:rsid w:val="006562D5"/>
    <w:rsid w:val="00684CDB"/>
    <w:rsid w:val="006A102A"/>
    <w:rsid w:val="006A19CD"/>
    <w:rsid w:val="006B1689"/>
    <w:rsid w:val="006C1DF9"/>
    <w:rsid w:val="006F2845"/>
    <w:rsid w:val="007024C9"/>
    <w:rsid w:val="00721871"/>
    <w:rsid w:val="00727BCB"/>
    <w:rsid w:val="00770162"/>
    <w:rsid w:val="007C2FAC"/>
    <w:rsid w:val="007D09A7"/>
    <w:rsid w:val="007D74DE"/>
    <w:rsid w:val="00820C36"/>
    <w:rsid w:val="008A68D3"/>
    <w:rsid w:val="008C525F"/>
    <w:rsid w:val="008E6875"/>
    <w:rsid w:val="00910C9E"/>
    <w:rsid w:val="00914CA6"/>
    <w:rsid w:val="009529F0"/>
    <w:rsid w:val="009A1909"/>
    <w:rsid w:val="009B15D4"/>
    <w:rsid w:val="009D5289"/>
    <w:rsid w:val="00A02E4D"/>
    <w:rsid w:val="00A96E52"/>
    <w:rsid w:val="00AA4047"/>
    <w:rsid w:val="00AD5FC0"/>
    <w:rsid w:val="00AF563A"/>
    <w:rsid w:val="00B10FFF"/>
    <w:rsid w:val="00B2287F"/>
    <w:rsid w:val="00B5245E"/>
    <w:rsid w:val="00BE7CD3"/>
    <w:rsid w:val="00C71888"/>
    <w:rsid w:val="00C71F32"/>
    <w:rsid w:val="00CF29CA"/>
    <w:rsid w:val="00D74155"/>
    <w:rsid w:val="00D74969"/>
    <w:rsid w:val="00D821BB"/>
    <w:rsid w:val="00DA1395"/>
    <w:rsid w:val="00DA77CC"/>
    <w:rsid w:val="00DD0F84"/>
    <w:rsid w:val="00DD1A86"/>
    <w:rsid w:val="00DD7C40"/>
    <w:rsid w:val="00DE05E3"/>
    <w:rsid w:val="00DF1C96"/>
    <w:rsid w:val="00E14EE4"/>
    <w:rsid w:val="00E356B7"/>
    <w:rsid w:val="00E3720D"/>
    <w:rsid w:val="00E52CD8"/>
    <w:rsid w:val="00E54CDE"/>
    <w:rsid w:val="00E85071"/>
    <w:rsid w:val="00F02DBB"/>
    <w:rsid w:val="00F14815"/>
    <w:rsid w:val="00F3771B"/>
    <w:rsid w:val="00F47714"/>
    <w:rsid w:val="00F52B7B"/>
    <w:rsid w:val="00F84DEE"/>
    <w:rsid w:val="00F868BB"/>
    <w:rsid w:val="00FA143E"/>
    <w:rsid w:val="00FB2B43"/>
    <w:rsid w:val="00FC4D32"/>
    <w:rsid w:val="00FD542F"/>
    <w:rsid w:val="00FF0871"/>
    <w:rsid w:val="01052D40"/>
    <w:rsid w:val="010918C3"/>
    <w:rsid w:val="012D2227"/>
    <w:rsid w:val="018B202B"/>
    <w:rsid w:val="01FD4145"/>
    <w:rsid w:val="033B233E"/>
    <w:rsid w:val="037643A9"/>
    <w:rsid w:val="03C05BA0"/>
    <w:rsid w:val="041D18A8"/>
    <w:rsid w:val="0426114E"/>
    <w:rsid w:val="043E4F4A"/>
    <w:rsid w:val="047E366C"/>
    <w:rsid w:val="049C67D2"/>
    <w:rsid w:val="05151E40"/>
    <w:rsid w:val="05883ED0"/>
    <w:rsid w:val="05E54097"/>
    <w:rsid w:val="05E5657C"/>
    <w:rsid w:val="06C6742E"/>
    <w:rsid w:val="06E6193B"/>
    <w:rsid w:val="072723CB"/>
    <w:rsid w:val="07482DA8"/>
    <w:rsid w:val="075D7ECA"/>
    <w:rsid w:val="078B3860"/>
    <w:rsid w:val="07DE7B95"/>
    <w:rsid w:val="081449CC"/>
    <w:rsid w:val="081A20F4"/>
    <w:rsid w:val="08D922C9"/>
    <w:rsid w:val="09016BE6"/>
    <w:rsid w:val="091A7535"/>
    <w:rsid w:val="092462AC"/>
    <w:rsid w:val="09370A52"/>
    <w:rsid w:val="093727DC"/>
    <w:rsid w:val="09704F3D"/>
    <w:rsid w:val="098C4A62"/>
    <w:rsid w:val="09E47AD2"/>
    <w:rsid w:val="0A812FC9"/>
    <w:rsid w:val="0AD85B8E"/>
    <w:rsid w:val="0B043FF8"/>
    <w:rsid w:val="0B1C0FC5"/>
    <w:rsid w:val="0BFC69D0"/>
    <w:rsid w:val="0C043268"/>
    <w:rsid w:val="0C382F9F"/>
    <w:rsid w:val="0C7C46C7"/>
    <w:rsid w:val="0CE963A5"/>
    <w:rsid w:val="0CEE3CF5"/>
    <w:rsid w:val="0D0964AF"/>
    <w:rsid w:val="0DA40CF8"/>
    <w:rsid w:val="0DC36F16"/>
    <w:rsid w:val="0DC66A9F"/>
    <w:rsid w:val="0DF46D03"/>
    <w:rsid w:val="0E147572"/>
    <w:rsid w:val="0E1E05C2"/>
    <w:rsid w:val="0E566796"/>
    <w:rsid w:val="0E600C35"/>
    <w:rsid w:val="0E610236"/>
    <w:rsid w:val="0E6C6DB7"/>
    <w:rsid w:val="0E6F294B"/>
    <w:rsid w:val="0E72396F"/>
    <w:rsid w:val="0E7D241A"/>
    <w:rsid w:val="0EA21D32"/>
    <w:rsid w:val="0F014070"/>
    <w:rsid w:val="0F660F40"/>
    <w:rsid w:val="0F6C026D"/>
    <w:rsid w:val="0F8D2640"/>
    <w:rsid w:val="0FE22A85"/>
    <w:rsid w:val="101468F7"/>
    <w:rsid w:val="109E053B"/>
    <w:rsid w:val="10BE0976"/>
    <w:rsid w:val="118947DD"/>
    <w:rsid w:val="11D51A37"/>
    <w:rsid w:val="11F61602"/>
    <w:rsid w:val="121E7016"/>
    <w:rsid w:val="12DA1557"/>
    <w:rsid w:val="12EC6920"/>
    <w:rsid w:val="13103139"/>
    <w:rsid w:val="132E0834"/>
    <w:rsid w:val="1393060F"/>
    <w:rsid w:val="13BC4308"/>
    <w:rsid w:val="13EB2578"/>
    <w:rsid w:val="146B6E96"/>
    <w:rsid w:val="148436FD"/>
    <w:rsid w:val="14851D7D"/>
    <w:rsid w:val="14F468CC"/>
    <w:rsid w:val="15B301B3"/>
    <w:rsid w:val="15D135BF"/>
    <w:rsid w:val="15F744B7"/>
    <w:rsid w:val="161405CC"/>
    <w:rsid w:val="16312960"/>
    <w:rsid w:val="176974FB"/>
    <w:rsid w:val="17E077FE"/>
    <w:rsid w:val="18001FEB"/>
    <w:rsid w:val="18BE5668"/>
    <w:rsid w:val="19190B6F"/>
    <w:rsid w:val="198F5E69"/>
    <w:rsid w:val="19A3486C"/>
    <w:rsid w:val="19BC216E"/>
    <w:rsid w:val="19D8421D"/>
    <w:rsid w:val="19F7193F"/>
    <w:rsid w:val="19FC5461"/>
    <w:rsid w:val="1A254964"/>
    <w:rsid w:val="1ABB663C"/>
    <w:rsid w:val="1AF945D5"/>
    <w:rsid w:val="1B1C7FF1"/>
    <w:rsid w:val="1B2461BD"/>
    <w:rsid w:val="1B396899"/>
    <w:rsid w:val="1B4D651E"/>
    <w:rsid w:val="1BA80FC1"/>
    <w:rsid w:val="1BA86BA4"/>
    <w:rsid w:val="1BD4395D"/>
    <w:rsid w:val="1BED2887"/>
    <w:rsid w:val="1BFF0307"/>
    <w:rsid w:val="1C017345"/>
    <w:rsid w:val="1C0A7317"/>
    <w:rsid w:val="1C242655"/>
    <w:rsid w:val="1CAB15E3"/>
    <w:rsid w:val="1D1014B4"/>
    <w:rsid w:val="1D2507CC"/>
    <w:rsid w:val="1D8B76EC"/>
    <w:rsid w:val="1DAF2332"/>
    <w:rsid w:val="1E22733D"/>
    <w:rsid w:val="1E3170C7"/>
    <w:rsid w:val="1E530C5D"/>
    <w:rsid w:val="1E5B236A"/>
    <w:rsid w:val="1E5D72F4"/>
    <w:rsid w:val="1EBF5882"/>
    <w:rsid w:val="1F2F4623"/>
    <w:rsid w:val="1F3E0E53"/>
    <w:rsid w:val="1F42424F"/>
    <w:rsid w:val="1F6C0719"/>
    <w:rsid w:val="1FAF59C9"/>
    <w:rsid w:val="1FB919F6"/>
    <w:rsid w:val="1FEB00CF"/>
    <w:rsid w:val="1FFE43FB"/>
    <w:rsid w:val="20286583"/>
    <w:rsid w:val="208035C9"/>
    <w:rsid w:val="208C4817"/>
    <w:rsid w:val="20B55587"/>
    <w:rsid w:val="20BC3B4C"/>
    <w:rsid w:val="20CB3C1B"/>
    <w:rsid w:val="20E37308"/>
    <w:rsid w:val="21741D82"/>
    <w:rsid w:val="219245DC"/>
    <w:rsid w:val="21A11289"/>
    <w:rsid w:val="220C3E16"/>
    <w:rsid w:val="221A24A1"/>
    <w:rsid w:val="2294705C"/>
    <w:rsid w:val="22AA7DDB"/>
    <w:rsid w:val="22C21803"/>
    <w:rsid w:val="22CE7949"/>
    <w:rsid w:val="22E04EF3"/>
    <w:rsid w:val="232C38E6"/>
    <w:rsid w:val="23696C97"/>
    <w:rsid w:val="237F5E2F"/>
    <w:rsid w:val="23E363E0"/>
    <w:rsid w:val="240606A6"/>
    <w:rsid w:val="240B53FE"/>
    <w:rsid w:val="25340068"/>
    <w:rsid w:val="25AC6705"/>
    <w:rsid w:val="25C2127F"/>
    <w:rsid w:val="25E543F3"/>
    <w:rsid w:val="26382186"/>
    <w:rsid w:val="26B22243"/>
    <w:rsid w:val="26BA24B0"/>
    <w:rsid w:val="26EC4BC7"/>
    <w:rsid w:val="27213141"/>
    <w:rsid w:val="27754532"/>
    <w:rsid w:val="27A04C51"/>
    <w:rsid w:val="27B90B1C"/>
    <w:rsid w:val="27C6479D"/>
    <w:rsid w:val="27F939EA"/>
    <w:rsid w:val="28033011"/>
    <w:rsid w:val="280412A4"/>
    <w:rsid w:val="281B2BB4"/>
    <w:rsid w:val="28520268"/>
    <w:rsid w:val="28A27C2B"/>
    <w:rsid w:val="28D3353C"/>
    <w:rsid w:val="28E128F8"/>
    <w:rsid w:val="28EF0462"/>
    <w:rsid w:val="28F44708"/>
    <w:rsid w:val="292E3C4C"/>
    <w:rsid w:val="29507E66"/>
    <w:rsid w:val="29542155"/>
    <w:rsid w:val="2A061630"/>
    <w:rsid w:val="2A5F47D3"/>
    <w:rsid w:val="2A6F76A4"/>
    <w:rsid w:val="2B276891"/>
    <w:rsid w:val="2BA56CDA"/>
    <w:rsid w:val="2D3D572C"/>
    <w:rsid w:val="2D403266"/>
    <w:rsid w:val="2D74105A"/>
    <w:rsid w:val="2D7C29A1"/>
    <w:rsid w:val="2D835719"/>
    <w:rsid w:val="2D8D289B"/>
    <w:rsid w:val="2DC33DF5"/>
    <w:rsid w:val="2E303C49"/>
    <w:rsid w:val="2E4E00B6"/>
    <w:rsid w:val="2E5260D3"/>
    <w:rsid w:val="2E837838"/>
    <w:rsid w:val="2EA341A9"/>
    <w:rsid w:val="2EB1796C"/>
    <w:rsid w:val="2F511653"/>
    <w:rsid w:val="2F534F90"/>
    <w:rsid w:val="2F673B2E"/>
    <w:rsid w:val="2F6E1D56"/>
    <w:rsid w:val="2FD6162F"/>
    <w:rsid w:val="30867A8D"/>
    <w:rsid w:val="309B1E60"/>
    <w:rsid w:val="30CB67BB"/>
    <w:rsid w:val="30FF3071"/>
    <w:rsid w:val="31104BF6"/>
    <w:rsid w:val="311D61B6"/>
    <w:rsid w:val="311E36D5"/>
    <w:rsid w:val="31276C54"/>
    <w:rsid w:val="314F3A1E"/>
    <w:rsid w:val="31685A23"/>
    <w:rsid w:val="31FD0A86"/>
    <w:rsid w:val="3221260D"/>
    <w:rsid w:val="324E2327"/>
    <w:rsid w:val="32684D4E"/>
    <w:rsid w:val="32870EE7"/>
    <w:rsid w:val="32B61351"/>
    <w:rsid w:val="32E70809"/>
    <w:rsid w:val="32F16116"/>
    <w:rsid w:val="3343703A"/>
    <w:rsid w:val="3355156F"/>
    <w:rsid w:val="336F71CD"/>
    <w:rsid w:val="33945CFD"/>
    <w:rsid w:val="33B64692"/>
    <w:rsid w:val="342D3CA9"/>
    <w:rsid w:val="34355B2F"/>
    <w:rsid w:val="34365320"/>
    <w:rsid w:val="34C36FF8"/>
    <w:rsid w:val="34F24C9A"/>
    <w:rsid w:val="34F34CDF"/>
    <w:rsid w:val="35CE7D1E"/>
    <w:rsid w:val="36E60A74"/>
    <w:rsid w:val="37222CDE"/>
    <w:rsid w:val="3759561C"/>
    <w:rsid w:val="37877A2F"/>
    <w:rsid w:val="378D54D9"/>
    <w:rsid w:val="37A77E3B"/>
    <w:rsid w:val="37B6779E"/>
    <w:rsid w:val="37E34940"/>
    <w:rsid w:val="37FB3C77"/>
    <w:rsid w:val="381F0B95"/>
    <w:rsid w:val="3838103F"/>
    <w:rsid w:val="383D72E7"/>
    <w:rsid w:val="38D96EC9"/>
    <w:rsid w:val="38F3612A"/>
    <w:rsid w:val="393B5A64"/>
    <w:rsid w:val="396F4C72"/>
    <w:rsid w:val="39DC0DBF"/>
    <w:rsid w:val="39E344CD"/>
    <w:rsid w:val="39F03CF7"/>
    <w:rsid w:val="3A136043"/>
    <w:rsid w:val="3A421402"/>
    <w:rsid w:val="3A4B1647"/>
    <w:rsid w:val="3A764DC7"/>
    <w:rsid w:val="3A8570A6"/>
    <w:rsid w:val="3A884A21"/>
    <w:rsid w:val="3B3505FA"/>
    <w:rsid w:val="3B3B4EE4"/>
    <w:rsid w:val="3B5E04CA"/>
    <w:rsid w:val="3B867876"/>
    <w:rsid w:val="3BAE0136"/>
    <w:rsid w:val="3C251F6D"/>
    <w:rsid w:val="3C4A148D"/>
    <w:rsid w:val="3CB00A6D"/>
    <w:rsid w:val="3D524477"/>
    <w:rsid w:val="3DB94E48"/>
    <w:rsid w:val="3DF0233B"/>
    <w:rsid w:val="3E207FE4"/>
    <w:rsid w:val="3E333973"/>
    <w:rsid w:val="3E886713"/>
    <w:rsid w:val="3E8A18BE"/>
    <w:rsid w:val="3E8D0875"/>
    <w:rsid w:val="3E8E3036"/>
    <w:rsid w:val="3EC60FE9"/>
    <w:rsid w:val="3EFE5D39"/>
    <w:rsid w:val="3F07741C"/>
    <w:rsid w:val="3F37582A"/>
    <w:rsid w:val="3F3B12DF"/>
    <w:rsid w:val="3F52601E"/>
    <w:rsid w:val="3FCD6BA4"/>
    <w:rsid w:val="3FD213A0"/>
    <w:rsid w:val="3FDE0721"/>
    <w:rsid w:val="4094332E"/>
    <w:rsid w:val="40AB334E"/>
    <w:rsid w:val="40FD62EC"/>
    <w:rsid w:val="41087697"/>
    <w:rsid w:val="416C3F37"/>
    <w:rsid w:val="419D5DD3"/>
    <w:rsid w:val="41BB0E90"/>
    <w:rsid w:val="422F467D"/>
    <w:rsid w:val="42662670"/>
    <w:rsid w:val="42C43A92"/>
    <w:rsid w:val="43BA012E"/>
    <w:rsid w:val="43D15190"/>
    <w:rsid w:val="4446092F"/>
    <w:rsid w:val="447E3D29"/>
    <w:rsid w:val="44C17472"/>
    <w:rsid w:val="45320873"/>
    <w:rsid w:val="458D2861"/>
    <w:rsid w:val="459679B0"/>
    <w:rsid w:val="462C1E94"/>
    <w:rsid w:val="46D21AC8"/>
    <w:rsid w:val="46E13CD3"/>
    <w:rsid w:val="46E53457"/>
    <w:rsid w:val="46F348B3"/>
    <w:rsid w:val="47022AF8"/>
    <w:rsid w:val="475E6875"/>
    <w:rsid w:val="47D5138D"/>
    <w:rsid w:val="487E3137"/>
    <w:rsid w:val="48EF4727"/>
    <w:rsid w:val="493B4993"/>
    <w:rsid w:val="49B979CF"/>
    <w:rsid w:val="49BE6EFC"/>
    <w:rsid w:val="4A022AF8"/>
    <w:rsid w:val="4A127799"/>
    <w:rsid w:val="4A2C3160"/>
    <w:rsid w:val="4A9E243E"/>
    <w:rsid w:val="4ABA2FCA"/>
    <w:rsid w:val="4B4C26CB"/>
    <w:rsid w:val="4B5D0C96"/>
    <w:rsid w:val="4B9E5D38"/>
    <w:rsid w:val="4BC45EEC"/>
    <w:rsid w:val="4BDF0A85"/>
    <w:rsid w:val="4C3C2C31"/>
    <w:rsid w:val="4C411354"/>
    <w:rsid w:val="4C602A7D"/>
    <w:rsid w:val="4C6A0D26"/>
    <w:rsid w:val="4CD35E06"/>
    <w:rsid w:val="4D0E710D"/>
    <w:rsid w:val="4DA07832"/>
    <w:rsid w:val="4DC25072"/>
    <w:rsid w:val="4E17220C"/>
    <w:rsid w:val="4E850579"/>
    <w:rsid w:val="4E87008D"/>
    <w:rsid w:val="4E9B46DF"/>
    <w:rsid w:val="4EB57700"/>
    <w:rsid w:val="4F211CEB"/>
    <w:rsid w:val="4F25611C"/>
    <w:rsid w:val="4F940921"/>
    <w:rsid w:val="5028297A"/>
    <w:rsid w:val="50731EE8"/>
    <w:rsid w:val="509A17DE"/>
    <w:rsid w:val="50AE360E"/>
    <w:rsid w:val="50F7446F"/>
    <w:rsid w:val="519B3950"/>
    <w:rsid w:val="51C25640"/>
    <w:rsid w:val="51C4508E"/>
    <w:rsid w:val="51E511F4"/>
    <w:rsid w:val="52324E44"/>
    <w:rsid w:val="527A5C67"/>
    <w:rsid w:val="53174F8F"/>
    <w:rsid w:val="534B26F2"/>
    <w:rsid w:val="53732900"/>
    <w:rsid w:val="53901C0D"/>
    <w:rsid w:val="53EC07E2"/>
    <w:rsid w:val="540E75CA"/>
    <w:rsid w:val="54276C77"/>
    <w:rsid w:val="546C21F7"/>
    <w:rsid w:val="54AA1E07"/>
    <w:rsid w:val="54D263D6"/>
    <w:rsid w:val="550A6722"/>
    <w:rsid w:val="551D6477"/>
    <w:rsid w:val="55220DF4"/>
    <w:rsid w:val="557F3250"/>
    <w:rsid w:val="55AE25AC"/>
    <w:rsid w:val="55C46002"/>
    <w:rsid w:val="55CD3637"/>
    <w:rsid w:val="565C3E17"/>
    <w:rsid w:val="5663166A"/>
    <w:rsid w:val="566F1404"/>
    <w:rsid w:val="56D369DF"/>
    <w:rsid w:val="56D812C8"/>
    <w:rsid w:val="570524F8"/>
    <w:rsid w:val="57221C9E"/>
    <w:rsid w:val="57241A6D"/>
    <w:rsid w:val="576C4733"/>
    <w:rsid w:val="578823B0"/>
    <w:rsid w:val="57B90F2F"/>
    <w:rsid w:val="580345D4"/>
    <w:rsid w:val="58222D9D"/>
    <w:rsid w:val="582C2087"/>
    <w:rsid w:val="584B0C07"/>
    <w:rsid w:val="586C44E9"/>
    <w:rsid w:val="587D74C9"/>
    <w:rsid w:val="58B546B9"/>
    <w:rsid w:val="59320CDB"/>
    <w:rsid w:val="59CD6E58"/>
    <w:rsid w:val="5A143EC9"/>
    <w:rsid w:val="5A9C7376"/>
    <w:rsid w:val="5ADD112C"/>
    <w:rsid w:val="5AED5651"/>
    <w:rsid w:val="5AEF1894"/>
    <w:rsid w:val="5B120263"/>
    <w:rsid w:val="5B2E27CA"/>
    <w:rsid w:val="5B9F7C16"/>
    <w:rsid w:val="5BAB08C7"/>
    <w:rsid w:val="5BC419F1"/>
    <w:rsid w:val="5BF442D8"/>
    <w:rsid w:val="5C47388D"/>
    <w:rsid w:val="5C4874B6"/>
    <w:rsid w:val="5C870F3C"/>
    <w:rsid w:val="5CBD3FE8"/>
    <w:rsid w:val="5CBD5291"/>
    <w:rsid w:val="5CD81CD7"/>
    <w:rsid w:val="5CF0242C"/>
    <w:rsid w:val="5CF96B11"/>
    <w:rsid w:val="5D253B06"/>
    <w:rsid w:val="5D362DFA"/>
    <w:rsid w:val="5D777C27"/>
    <w:rsid w:val="5D841B7F"/>
    <w:rsid w:val="5D8879E8"/>
    <w:rsid w:val="5DA54D35"/>
    <w:rsid w:val="5E2D78F5"/>
    <w:rsid w:val="5E5F56C0"/>
    <w:rsid w:val="5EBE5458"/>
    <w:rsid w:val="5EF36AD2"/>
    <w:rsid w:val="60187BB7"/>
    <w:rsid w:val="60A24C82"/>
    <w:rsid w:val="611C7985"/>
    <w:rsid w:val="61E23372"/>
    <w:rsid w:val="61F845F8"/>
    <w:rsid w:val="6223212B"/>
    <w:rsid w:val="63726000"/>
    <w:rsid w:val="637B1D10"/>
    <w:rsid w:val="63AF76AB"/>
    <w:rsid w:val="63B24296"/>
    <w:rsid w:val="63BB7E4E"/>
    <w:rsid w:val="63F952A9"/>
    <w:rsid w:val="6455241A"/>
    <w:rsid w:val="647D43B4"/>
    <w:rsid w:val="64EE7BE7"/>
    <w:rsid w:val="65392006"/>
    <w:rsid w:val="65517186"/>
    <w:rsid w:val="65EB2BEB"/>
    <w:rsid w:val="65FE5615"/>
    <w:rsid w:val="661F4161"/>
    <w:rsid w:val="662B5E23"/>
    <w:rsid w:val="6662005E"/>
    <w:rsid w:val="66733240"/>
    <w:rsid w:val="66FB3703"/>
    <w:rsid w:val="67295A3F"/>
    <w:rsid w:val="672F13E0"/>
    <w:rsid w:val="67A919A7"/>
    <w:rsid w:val="67E95FF0"/>
    <w:rsid w:val="680F4744"/>
    <w:rsid w:val="68654460"/>
    <w:rsid w:val="687833CB"/>
    <w:rsid w:val="688939F3"/>
    <w:rsid w:val="688F19D0"/>
    <w:rsid w:val="68932FEB"/>
    <w:rsid w:val="690533A6"/>
    <w:rsid w:val="693D2737"/>
    <w:rsid w:val="69556A91"/>
    <w:rsid w:val="696431E1"/>
    <w:rsid w:val="69884206"/>
    <w:rsid w:val="69E81662"/>
    <w:rsid w:val="6A27466E"/>
    <w:rsid w:val="6A616748"/>
    <w:rsid w:val="6A6E23B2"/>
    <w:rsid w:val="6AB804D7"/>
    <w:rsid w:val="6ABE016B"/>
    <w:rsid w:val="6B2D0908"/>
    <w:rsid w:val="6B7337F8"/>
    <w:rsid w:val="6BE06D6C"/>
    <w:rsid w:val="6CD365D9"/>
    <w:rsid w:val="6CF52602"/>
    <w:rsid w:val="6D0B4EA9"/>
    <w:rsid w:val="6D3E2C8C"/>
    <w:rsid w:val="6D4B1CBB"/>
    <w:rsid w:val="6D600A78"/>
    <w:rsid w:val="6D784F21"/>
    <w:rsid w:val="6D7A26BE"/>
    <w:rsid w:val="6DA37AE0"/>
    <w:rsid w:val="6DD52B90"/>
    <w:rsid w:val="6E093F90"/>
    <w:rsid w:val="6E9E5AF6"/>
    <w:rsid w:val="6EB678AC"/>
    <w:rsid w:val="6F185ADA"/>
    <w:rsid w:val="6F1A53E9"/>
    <w:rsid w:val="6F4B4AF3"/>
    <w:rsid w:val="6F691FB2"/>
    <w:rsid w:val="6F704653"/>
    <w:rsid w:val="6FB117A9"/>
    <w:rsid w:val="6FC77F0C"/>
    <w:rsid w:val="6FFF7798"/>
    <w:rsid w:val="7038575E"/>
    <w:rsid w:val="704A378C"/>
    <w:rsid w:val="704D7E0A"/>
    <w:rsid w:val="7050674A"/>
    <w:rsid w:val="70A142C6"/>
    <w:rsid w:val="70B30B1E"/>
    <w:rsid w:val="715A3AF4"/>
    <w:rsid w:val="719F5570"/>
    <w:rsid w:val="71AB6363"/>
    <w:rsid w:val="71B536D5"/>
    <w:rsid w:val="71D225EB"/>
    <w:rsid w:val="71E07FFF"/>
    <w:rsid w:val="71EB25B0"/>
    <w:rsid w:val="72006E6C"/>
    <w:rsid w:val="72052070"/>
    <w:rsid w:val="72A82255"/>
    <w:rsid w:val="72FD618C"/>
    <w:rsid w:val="73312457"/>
    <w:rsid w:val="734D7008"/>
    <w:rsid w:val="736E47A8"/>
    <w:rsid w:val="73A372E3"/>
    <w:rsid w:val="73EB57B4"/>
    <w:rsid w:val="750C4E78"/>
    <w:rsid w:val="752038E5"/>
    <w:rsid w:val="752E1DA1"/>
    <w:rsid w:val="755F05CA"/>
    <w:rsid w:val="756563D4"/>
    <w:rsid w:val="75A22AFF"/>
    <w:rsid w:val="75F3290A"/>
    <w:rsid w:val="75F83374"/>
    <w:rsid w:val="75FF654D"/>
    <w:rsid w:val="76194036"/>
    <w:rsid w:val="76485C40"/>
    <w:rsid w:val="76510533"/>
    <w:rsid w:val="7682346D"/>
    <w:rsid w:val="76867628"/>
    <w:rsid w:val="76947775"/>
    <w:rsid w:val="770A7925"/>
    <w:rsid w:val="777D5717"/>
    <w:rsid w:val="779913FD"/>
    <w:rsid w:val="77A07BB9"/>
    <w:rsid w:val="77E60B3B"/>
    <w:rsid w:val="78BB4A91"/>
    <w:rsid w:val="78D25874"/>
    <w:rsid w:val="78DF4C3E"/>
    <w:rsid w:val="78E3612D"/>
    <w:rsid w:val="7978473E"/>
    <w:rsid w:val="798A2A34"/>
    <w:rsid w:val="79A20148"/>
    <w:rsid w:val="79B7342D"/>
    <w:rsid w:val="79EF02EB"/>
    <w:rsid w:val="7A012FE1"/>
    <w:rsid w:val="7A024929"/>
    <w:rsid w:val="7A3149D4"/>
    <w:rsid w:val="7A8D1447"/>
    <w:rsid w:val="7AB7625B"/>
    <w:rsid w:val="7AF76708"/>
    <w:rsid w:val="7B360017"/>
    <w:rsid w:val="7B866082"/>
    <w:rsid w:val="7BDC0014"/>
    <w:rsid w:val="7BE07352"/>
    <w:rsid w:val="7C152567"/>
    <w:rsid w:val="7C396CCF"/>
    <w:rsid w:val="7C456FB8"/>
    <w:rsid w:val="7C847C3B"/>
    <w:rsid w:val="7D2274E7"/>
    <w:rsid w:val="7D780144"/>
    <w:rsid w:val="7DD41BF9"/>
    <w:rsid w:val="7DFB3507"/>
    <w:rsid w:val="7E2E6B9F"/>
    <w:rsid w:val="7E7176D7"/>
    <w:rsid w:val="7EA9315B"/>
    <w:rsid w:val="7F2E42BD"/>
    <w:rsid w:val="7F556EAE"/>
    <w:rsid w:val="7F746FE1"/>
    <w:rsid w:val="7F7F05A6"/>
    <w:rsid w:val="7F87530C"/>
    <w:rsid w:val="7F9F27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99" w:semiHidden="0" w:name="Normal Indent"/>
    <w:lsdException w:uiPriority="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iPriority="99" w:name="Body Text First Indent"/>
    <w:lsdException w:qFormat="1" w:unhideWhenUsed="0" w:uiPriority="0" w:semiHidden="0" w:name="Body Text First Indent 2"/>
    <w:lsdException w:uiPriority="0" w:name="Note Heading"/>
    <w:lsdException w:qFormat="1" w:uiPriority="99" w:semiHidden="0" w:name="Body Text 2"/>
    <w:lsdException w:qFormat="1" w:uiPriority="0" w:semiHidden="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qFormat="1"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next w:val="1"/>
    <w:link w:val="89"/>
    <w:semiHidden/>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semiHidden/>
    <w:unhideWhenUsed/>
    <w:qFormat/>
    <w:uiPriority w:val="0"/>
    <w:pPr>
      <w:widowControl w:val="0"/>
      <w:spacing w:beforeAutospacing="1" w:afterAutospacing="1"/>
      <w:jc w:val="left"/>
      <w:outlineLvl w:val="2"/>
    </w:pPr>
    <w:rPr>
      <w:rFonts w:hint="eastAsia" w:ascii="宋体" w:hAnsi="宋体" w:eastAsia="宋体" w:cs="Times New Roman"/>
      <w:b/>
      <w:bCs/>
      <w:kern w:val="0"/>
      <w:sz w:val="27"/>
      <w:szCs w:val="27"/>
      <w:lang w:val="en-US" w:eastAsia="zh-CN" w:bidi="ar-SA"/>
    </w:rPr>
  </w:style>
  <w:style w:type="character" w:default="1" w:styleId="24">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unhideWhenUsed/>
    <w:qFormat/>
    <w:uiPriority w:val="99"/>
    <w:pPr>
      <w:widowControl w:val="0"/>
      <w:ind w:firstLine="420" w:firstLineChars="200"/>
      <w:jc w:val="both"/>
    </w:pPr>
    <w:rPr>
      <w:rFonts w:ascii="Calibri" w:hAnsi="Calibri" w:eastAsia="仿宋_GB2312" w:cs="Times New Roman"/>
      <w:sz w:val="32"/>
    </w:rPr>
  </w:style>
  <w:style w:type="paragraph" w:styleId="6">
    <w:name w:val="annotation text"/>
    <w:basedOn w:val="7"/>
    <w:link w:val="33"/>
    <w:unhideWhenUsed/>
    <w:qFormat/>
    <w:uiPriority w:val="0"/>
    <w:pPr>
      <w:jc w:val="left"/>
    </w:pPr>
    <w:rPr>
      <w:rFonts w:asciiTheme="minorHAnsi" w:hAnsiTheme="minorHAnsi" w:eastAsiaTheme="minorEastAsia" w:cstheme="minorBidi"/>
      <w:szCs w:val="22"/>
    </w:rPr>
  </w:style>
  <w:style w:type="paragraph" w:styleId="7">
    <w:name w:val="Balloon Text"/>
    <w:basedOn w:val="1"/>
    <w:link w:val="32"/>
    <w:qFormat/>
    <w:uiPriority w:val="0"/>
    <w:rPr>
      <w:sz w:val="18"/>
      <w:szCs w:val="18"/>
    </w:rPr>
  </w:style>
  <w:style w:type="paragraph" w:styleId="8">
    <w:name w:val="Body Text 3"/>
    <w:basedOn w:val="1"/>
    <w:link w:val="44"/>
    <w:unhideWhenUsed/>
    <w:qFormat/>
    <w:uiPriority w:val="0"/>
    <w:pPr>
      <w:spacing w:after="120"/>
    </w:pPr>
    <w:rPr>
      <w:rFonts w:ascii="Times New Roman" w:hAnsi="Times New Roman"/>
      <w:kern w:val="0"/>
      <w:sz w:val="16"/>
      <w:szCs w:val="16"/>
    </w:rPr>
  </w:style>
  <w:style w:type="paragraph" w:styleId="9">
    <w:name w:val="Body Text"/>
    <w:basedOn w:val="1"/>
    <w:link w:val="41"/>
    <w:unhideWhenUsed/>
    <w:qFormat/>
    <w:uiPriority w:val="0"/>
    <w:pPr>
      <w:spacing w:after="120"/>
    </w:pPr>
    <w:rPr>
      <w:rFonts w:ascii="Times New Roman" w:hAnsi="Times New Roman"/>
      <w:kern w:val="0"/>
      <w:sz w:val="20"/>
    </w:rPr>
  </w:style>
  <w:style w:type="paragraph" w:styleId="10">
    <w:name w:val="Body Text Indent"/>
    <w:basedOn w:val="1"/>
    <w:next w:val="1"/>
    <w:link w:val="42"/>
    <w:unhideWhenUsed/>
    <w:qFormat/>
    <w:uiPriority w:val="0"/>
    <w:pPr>
      <w:spacing w:after="120"/>
      <w:ind w:left="420" w:leftChars="200"/>
    </w:pPr>
    <w:rPr>
      <w:rFonts w:ascii="Times New Roman" w:hAnsi="Times New Roman"/>
      <w:kern w:val="0"/>
      <w:sz w:val="20"/>
    </w:rPr>
  </w:style>
  <w:style w:type="paragraph" w:styleId="11">
    <w:name w:val="Date"/>
    <w:basedOn w:val="1"/>
    <w:next w:val="1"/>
    <w:link w:val="31"/>
    <w:qFormat/>
    <w:uiPriority w:val="0"/>
    <w:pPr>
      <w:ind w:left="100" w:leftChars="2500"/>
    </w:pPr>
  </w:style>
  <w:style w:type="paragraph" w:styleId="12">
    <w:name w:val="footer"/>
    <w:basedOn w:val="1"/>
    <w:link w:val="30"/>
    <w:qFormat/>
    <w:uiPriority w:val="99"/>
    <w:pPr>
      <w:tabs>
        <w:tab w:val="center" w:pos="4153"/>
        <w:tab w:val="right" w:pos="8306"/>
      </w:tabs>
      <w:snapToGrid w:val="0"/>
      <w:jc w:val="left"/>
    </w:pPr>
    <w:rPr>
      <w:sz w:val="18"/>
    </w:rPr>
  </w:style>
  <w:style w:type="paragraph" w:styleId="13">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Subtitle"/>
    <w:basedOn w:val="1"/>
    <w:next w:val="1"/>
    <w:link w:val="43"/>
    <w:qFormat/>
    <w:uiPriority w:val="0"/>
    <w:pPr>
      <w:spacing w:before="240" w:after="60" w:line="312" w:lineRule="auto"/>
      <w:jc w:val="center"/>
      <w:outlineLvl w:val="1"/>
    </w:pPr>
    <w:rPr>
      <w:rFonts w:ascii="Cambria" w:hAnsi="Cambria"/>
      <w:b/>
      <w:bCs/>
      <w:kern w:val="28"/>
      <w:sz w:val="32"/>
      <w:szCs w:val="32"/>
    </w:rPr>
  </w:style>
  <w:style w:type="paragraph" w:styleId="15">
    <w:name w:val="Body Text 2"/>
    <w:basedOn w:val="1"/>
    <w:unhideWhenUsed/>
    <w:qFormat/>
    <w:uiPriority w:val="99"/>
    <w:pPr>
      <w:spacing w:after="120" w:line="480" w:lineRule="auto"/>
    </w:pPr>
  </w:style>
  <w:style w:type="paragraph" w:styleId="1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7">
    <w:name w:val="Title"/>
    <w:basedOn w:val="1"/>
    <w:link w:val="36"/>
    <w:qFormat/>
    <w:uiPriority w:val="0"/>
    <w:pPr>
      <w:spacing w:before="240" w:after="60"/>
      <w:jc w:val="center"/>
      <w:outlineLvl w:val="0"/>
    </w:pPr>
    <w:rPr>
      <w:rFonts w:ascii="Cambria" w:hAnsi="Cambria" w:eastAsiaTheme="minorEastAsia" w:cstheme="minorBidi"/>
      <w:b/>
      <w:bCs/>
      <w:sz w:val="32"/>
      <w:szCs w:val="32"/>
    </w:rPr>
  </w:style>
  <w:style w:type="paragraph" w:styleId="18">
    <w:name w:val="annotation subject"/>
    <w:basedOn w:val="6"/>
    <w:next w:val="6"/>
    <w:link w:val="37"/>
    <w:unhideWhenUsed/>
    <w:qFormat/>
    <w:uiPriority w:val="0"/>
    <w:rPr>
      <w:rFonts w:ascii="Calibri" w:hAnsi="Calibri" w:eastAsia="宋体" w:cs="Times New Roman"/>
      <w:b/>
      <w:bCs/>
      <w:kern w:val="0"/>
      <w:sz w:val="20"/>
      <w:szCs w:val="20"/>
    </w:rPr>
  </w:style>
  <w:style w:type="paragraph" w:styleId="19">
    <w:name w:val="Body Text First Indent"/>
    <w:basedOn w:val="9"/>
    <w:semiHidden/>
    <w:unhideWhenUsed/>
    <w:qFormat/>
    <w:uiPriority w:val="99"/>
    <w:pPr>
      <w:ind w:firstLine="420" w:firstLineChars="100"/>
    </w:pPr>
  </w:style>
  <w:style w:type="paragraph" w:styleId="20">
    <w:name w:val="Body Text First Indent 2"/>
    <w:basedOn w:val="10"/>
    <w:next w:val="1"/>
    <w:qFormat/>
    <w:uiPriority w:val="0"/>
    <w:pPr>
      <w:spacing w:after="0" w:line="580" w:lineRule="exact"/>
      <w:ind w:left="901" w:leftChars="429" w:firstLine="420" w:firstLineChars="200"/>
    </w:pPr>
    <w:rPr>
      <w:rFonts w:ascii="仿宋_GB2312" w:hAnsi="Calibri" w:eastAsia="仿宋_GB2312" w:cs="Times New Roman"/>
      <w:sz w:val="30"/>
      <w:szCs w:val="24"/>
    </w:rPr>
  </w:style>
  <w:style w:type="table" w:styleId="22">
    <w:name w:val="Table Grid"/>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3">
    <w:name w:val="Table Theme"/>
    <w:basedOn w:val="21"/>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page number"/>
    <w:basedOn w:val="24"/>
    <w:qFormat/>
    <w:uiPriority w:val="0"/>
  </w:style>
  <w:style w:type="character" w:styleId="27">
    <w:name w:val="FollowedHyperlink"/>
    <w:unhideWhenUsed/>
    <w:qFormat/>
    <w:uiPriority w:val="99"/>
    <w:rPr>
      <w:color w:val="800080"/>
      <w:u w:val="single"/>
    </w:rPr>
  </w:style>
  <w:style w:type="character" w:styleId="28">
    <w:name w:val="Hyperlink"/>
    <w:basedOn w:val="24"/>
    <w:unhideWhenUsed/>
    <w:qFormat/>
    <w:uiPriority w:val="99"/>
    <w:rPr>
      <w:color w:val="0000FF"/>
      <w:u w:val="single"/>
    </w:rPr>
  </w:style>
  <w:style w:type="character" w:styleId="29">
    <w:name w:val="annotation reference"/>
    <w:unhideWhenUsed/>
    <w:qFormat/>
    <w:uiPriority w:val="0"/>
    <w:rPr>
      <w:sz w:val="21"/>
      <w:szCs w:val="21"/>
    </w:rPr>
  </w:style>
  <w:style w:type="character" w:customStyle="1" w:styleId="30">
    <w:name w:val="页脚 字符"/>
    <w:basedOn w:val="24"/>
    <w:link w:val="12"/>
    <w:qFormat/>
    <w:uiPriority w:val="99"/>
    <w:rPr>
      <w:rFonts w:ascii="Calibri" w:hAnsi="Calibri"/>
      <w:kern w:val="2"/>
      <w:sz w:val="18"/>
      <w:szCs w:val="24"/>
    </w:rPr>
  </w:style>
  <w:style w:type="character" w:customStyle="1" w:styleId="31">
    <w:name w:val="日期 字符"/>
    <w:basedOn w:val="24"/>
    <w:link w:val="11"/>
    <w:qFormat/>
    <w:uiPriority w:val="0"/>
    <w:rPr>
      <w:rFonts w:ascii="Calibri" w:hAnsi="Calibri"/>
      <w:kern w:val="2"/>
      <w:sz w:val="21"/>
      <w:szCs w:val="24"/>
    </w:rPr>
  </w:style>
  <w:style w:type="character" w:customStyle="1" w:styleId="32">
    <w:name w:val="批注框文本 字符"/>
    <w:basedOn w:val="24"/>
    <w:link w:val="7"/>
    <w:qFormat/>
    <w:uiPriority w:val="0"/>
    <w:rPr>
      <w:rFonts w:ascii="Calibri" w:hAnsi="Calibri"/>
      <w:kern w:val="2"/>
      <w:sz w:val="18"/>
      <w:szCs w:val="18"/>
    </w:rPr>
  </w:style>
  <w:style w:type="character" w:customStyle="1" w:styleId="33">
    <w:name w:val="批注文字 字符"/>
    <w:basedOn w:val="24"/>
    <w:link w:val="6"/>
    <w:qFormat/>
    <w:uiPriority w:val="0"/>
    <w:rPr>
      <w:rFonts w:asciiTheme="minorHAnsi" w:hAnsiTheme="minorHAnsi" w:eastAsiaTheme="minorEastAsia" w:cstheme="minorBidi"/>
      <w:kern w:val="2"/>
      <w:sz w:val="21"/>
      <w:szCs w:val="22"/>
    </w:rPr>
  </w:style>
  <w:style w:type="paragraph" w:styleId="34">
    <w:name w:val="List Paragraph"/>
    <w:basedOn w:val="1"/>
    <w:qFormat/>
    <w:uiPriority w:val="34"/>
    <w:pPr>
      <w:ind w:firstLine="420" w:firstLineChars="200"/>
    </w:pPr>
  </w:style>
  <w:style w:type="character" w:customStyle="1" w:styleId="35">
    <w:name w:val="页眉 字符"/>
    <w:basedOn w:val="24"/>
    <w:link w:val="13"/>
    <w:qFormat/>
    <w:uiPriority w:val="0"/>
    <w:rPr>
      <w:rFonts w:ascii="Calibri" w:hAnsi="Calibri"/>
      <w:kern w:val="2"/>
      <w:sz w:val="18"/>
      <w:szCs w:val="24"/>
    </w:rPr>
  </w:style>
  <w:style w:type="character" w:customStyle="1" w:styleId="36">
    <w:name w:val="标题 字符"/>
    <w:basedOn w:val="24"/>
    <w:link w:val="17"/>
    <w:qFormat/>
    <w:uiPriority w:val="0"/>
    <w:rPr>
      <w:rFonts w:ascii="Cambria" w:hAnsi="Cambria" w:eastAsiaTheme="minorEastAsia" w:cstheme="minorBidi"/>
      <w:b/>
      <w:bCs/>
      <w:kern w:val="2"/>
      <w:sz w:val="32"/>
      <w:szCs w:val="32"/>
    </w:rPr>
  </w:style>
  <w:style w:type="character" w:customStyle="1" w:styleId="37">
    <w:name w:val="批注主题 字符"/>
    <w:basedOn w:val="33"/>
    <w:link w:val="18"/>
    <w:qFormat/>
    <w:uiPriority w:val="0"/>
    <w:rPr>
      <w:rFonts w:ascii="Calibri" w:hAnsi="Calibri" w:eastAsiaTheme="minorEastAsia" w:cstheme="minorBidi"/>
      <w:b/>
      <w:bCs/>
      <w:kern w:val="2"/>
      <w:sz w:val="21"/>
      <w:szCs w:val="22"/>
    </w:rPr>
  </w:style>
  <w:style w:type="character" w:customStyle="1" w:styleId="38">
    <w:name w:val="批注主题 字符1"/>
    <w:basedOn w:val="33"/>
    <w:qFormat/>
    <w:uiPriority w:val="99"/>
    <w:rPr>
      <w:rFonts w:ascii="Calibri" w:hAnsi="Calibri" w:eastAsiaTheme="minorEastAsia" w:cstheme="minorBidi"/>
      <w:b/>
      <w:bCs/>
      <w:kern w:val="2"/>
      <w:sz w:val="21"/>
      <w:szCs w:val="24"/>
    </w:rPr>
  </w:style>
  <w:style w:type="paragraph" w:customStyle="1" w:styleId="39">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40">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41">
    <w:name w:val="正文文本 字符"/>
    <w:basedOn w:val="24"/>
    <w:link w:val="9"/>
    <w:qFormat/>
    <w:uiPriority w:val="0"/>
    <w:rPr>
      <w:szCs w:val="24"/>
    </w:rPr>
  </w:style>
  <w:style w:type="character" w:customStyle="1" w:styleId="42">
    <w:name w:val="正文文本缩进 字符"/>
    <w:basedOn w:val="24"/>
    <w:link w:val="10"/>
    <w:qFormat/>
    <w:uiPriority w:val="0"/>
    <w:rPr>
      <w:szCs w:val="24"/>
    </w:rPr>
  </w:style>
  <w:style w:type="character" w:customStyle="1" w:styleId="43">
    <w:name w:val="副标题 字符"/>
    <w:basedOn w:val="24"/>
    <w:link w:val="14"/>
    <w:qFormat/>
    <w:uiPriority w:val="0"/>
    <w:rPr>
      <w:rFonts w:ascii="Cambria" w:hAnsi="Cambria"/>
      <w:b/>
      <w:bCs/>
      <w:kern w:val="28"/>
      <w:sz w:val="32"/>
      <w:szCs w:val="32"/>
    </w:rPr>
  </w:style>
  <w:style w:type="character" w:customStyle="1" w:styleId="44">
    <w:name w:val="正文文本 3 字符"/>
    <w:basedOn w:val="24"/>
    <w:link w:val="8"/>
    <w:qFormat/>
    <w:uiPriority w:val="0"/>
    <w:rPr>
      <w:sz w:val="16"/>
      <w:szCs w:val="16"/>
    </w:rPr>
  </w:style>
  <w:style w:type="paragraph" w:customStyle="1" w:styleId="45">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46">
    <w:name w:val="xl7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4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48">
    <w:name w:val="正文表标题"/>
    <w:next w:val="47"/>
    <w:qFormat/>
    <w:uiPriority w:val="0"/>
    <w:pPr>
      <w:tabs>
        <w:tab w:val="left" w:pos="360"/>
      </w:tabs>
      <w:jc w:val="center"/>
    </w:pPr>
    <w:rPr>
      <w:rFonts w:ascii="黑体" w:hAnsi="Times New Roman" w:eastAsia="黑体" w:cs="Times New Roman"/>
      <w:sz w:val="21"/>
      <w:lang w:val="en-US" w:eastAsia="zh-CN" w:bidi="ar-SA"/>
    </w:rPr>
  </w:style>
  <w:style w:type="paragraph" w:customStyle="1" w:styleId="49">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5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52">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53">
    <w:name w:val="前言、引言标题"/>
    <w:next w:val="1"/>
    <w:qFormat/>
    <w:uiPriority w:val="0"/>
    <w:pPr>
      <w:numPr>
        <w:ilvl w:val="4"/>
        <w:numId w:val="1"/>
      </w:numPr>
      <w:shd w:val="clear" w:color="auto" w:fill="FFFFFF"/>
      <w:tabs>
        <w:tab w:val="left" w:pos="360"/>
      </w:tabs>
      <w:spacing w:before="640" w:after="560"/>
      <w:jc w:val="center"/>
      <w:outlineLvl w:val="0"/>
    </w:pPr>
    <w:rPr>
      <w:rFonts w:ascii="黑体" w:hAnsi="Times New Roman" w:eastAsia="黑体" w:cs="Times New Roman"/>
      <w:sz w:val="32"/>
      <w:lang w:val="en-US" w:eastAsia="zh-CN" w:bidi="ar-SA"/>
    </w:rPr>
  </w:style>
  <w:style w:type="paragraph" w:customStyle="1" w:styleId="54">
    <w:name w:val="xl24"/>
    <w:basedOn w:val="1"/>
    <w:qFormat/>
    <w:uiPriority w:val="0"/>
    <w:pPr>
      <w:widowControl/>
      <w:spacing w:before="100" w:beforeAutospacing="1" w:after="100" w:afterAutospacing="1"/>
      <w:jc w:val="center"/>
    </w:pPr>
    <w:rPr>
      <w:rFonts w:ascii="宋体" w:hAnsi="宋体"/>
      <w:kern w:val="0"/>
      <w:sz w:val="24"/>
    </w:rPr>
  </w:style>
  <w:style w:type="paragraph" w:customStyle="1" w:styleId="55">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56">
    <w:name w:val="章标题"/>
    <w:next w:val="47"/>
    <w:qFormat/>
    <w:uiPriority w:val="0"/>
    <w:pPr>
      <w:numPr>
        <w:ilvl w:val="1"/>
        <w:numId w:val="1"/>
      </w:numPr>
      <w:tabs>
        <w:tab w:val="left" w:pos="360"/>
      </w:tabs>
      <w:spacing w:beforeLines="50"/>
      <w:jc w:val="both"/>
      <w:outlineLvl w:val="1"/>
    </w:pPr>
    <w:rPr>
      <w:rFonts w:ascii="黑体" w:hAnsi="Times New Roman" w:eastAsia="黑体" w:cs="Times New Roman"/>
      <w:sz w:val="21"/>
      <w:lang w:val="en-US" w:eastAsia="zh-CN" w:bidi="ar-SA"/>
    </w:rPr>
  </w:style>
  <w:style w:type="paragraph" w:customStyle="1" w:styleId="5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58">
    <w:name w:val="xl68"/>
    <w:basedOn w:val="1"/>
    <w:qFormat/>
    <w:uiPriority w:val="0"/>
    <w:pPr>
      <w:widowControl/>
      <w:spacing w:before="100" w:beforeAutospacing="1" w:after="100" w:afterAutospacing="1"/>
      <w:jc w:val="right"/>
    </w:pPr>
    <w:rPr>
      <w:rFonts w:ascii="宋体" w:hAnsi="宋体" w:cs="宋体"/>
      <w:kern w:val="0"/>
      <w:sz w:val="18"/>
      <w:szCs w:val="18"/>
    </w:rPr>
  </w:style>
  <w:style w:type="paragraph" w:customStyle="1" w:styleId="59">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60">
    <w:name w:val="xl67"/>
    <w:basedOn w:val="1"/>
    <w:qFormat/>
    <w:uiPriority w:val="0"/>
    <w:pPr>
      <w:widowControl/>
      <w:spacing w:before="100" w:beforeAutospacing="1" w:after="100" w:afterAutospacing="1"/>
      <w:jc w:val="center"/>
    </w:pPr>
    <w:rPr>
      <w:rFonts w:ascii="黑体" w:hAnsi="黑体" w:eastAsia="黑体" w:cs="宋体"/>
      <w:kern w:val="0"/>
      <w:sz w:val="40"/>
      <w:szCs w:val="40"/>
    </w:rPr>
  </w:style>
  <w:style w:type="paragraph" w:customStyle="1" w:styleId="61">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62">
    <w:name w:val="xl64"/>
    <w:basedOn w:val="1"/>
    <w:qFormat/>
    <w:uiPriority w:val="0"/>
    <w:pPr>
      <w:widowControl/>
      <w:pBdr>
        <w:top w:val="single" w:color="auto" w:sz="4" w:space="0"/>
        <w:left w:val="single" w:color="auto" w:sz="4" w:space="0"/>
        <w:bottom w:val="single" w:color="auto" w:sz="4" w:space="0"/>
        <w:right w:val="single" w:color="auto" w:sz="4" w:space="0"/>
      </w:pBdr>
      <w:shd w:val="clear" w:color="auto" w:fill="DAEEF3"/>
      <w:spacing w:before="100" w:beforeAutospacing="1" w:after="100" w:afterAutospacing="1"/>
      <w:jc w:val="center"/>
    </w:pPr>
    <w:rPr>
      <w:rFonts w:ascii="宋体" w:hAnsi="宋体" w:cs="宋体"/>
      <w:b/>
      <w:bCs/>
      <w:kern w:val="0"/>
      <w:sz w:val="18"/>
      <w:szCs w:val="18"/>
    </w:rPr>
  </w:style>
  <w:style w:type="paragraph" w:customStyle="1" w:styleId="63">
    <w:name w:val="一级条标题"/>
    <w:basedOn w:val="56"/>
    <w:next w:val="47"/>
    <w:qFormat/>
    <w:uiPriority w:val="0"/>
    <w:pPr>
      <w:numPr>
        <w:ilvl w:val="0"/>
        <w:numId w:val="0"/>
      </w:numPr>
      <w:spacing w:beforeLines="0"/>
      <w:outlineLvl w:val="2"/>
    </w:pPr>
  </w:style>
  <w:style w:type="character" w:customStyle="1" w:styleId="64">
    <w:name w:val="apple-style-span"/>
    <w:basedOn w:val="24"/>
    <w:qFormat/>
    <w:uiPriority w:val="0"/>
  </w:style>
  <w:style w:type="character" w:customStyle="1" w:styleId="65">
    <w:name w:val="页眉 字符1"/>
    <w:basedOn w:val="24"/>
    <w:semiHidden/>
    <w:qFormat/>
    <w:uiPriority w:val="99"/>
    <w:rPr>
      <w:kern w:val="2"/>
      <w:sz w:val="18"/>
      <w:szCs w:val="18"/>
    </w:rPr>
  </w:style>
  <w:style w:type="character" w:customStyle="1" w:styleId="66">
    <w:name w:val="页脚 字符1"/>
    <w:basedOn w:val="24"/>
    <w:semiHidden/>
    <w:qFormat/>
    <w:uiPriority w:val="99"/>
    <w:rPr>
      <w:kern w:val="2"/>
      <w:sz w:val="18"/>
      <w:szCs w:val="18"/>
    </w:rPr>
  </w:style>
  <w:style w:type="character" w:customStyle="1" w:styleId="67">
    <w:name w:val="批注框文本 字符1"/>
    <w:basedOn w:val="24"/>
    <w:semiHidden/>
    <w:qFormat/>
    <w:uiPriority w:val="99"/>
    <w:rPr>
      <w:kern w:val="2"/>
      <w:sz w:val="18"/>
      <w:szCs w:val="18"/>
    </w:rPr>
  </w:style>
  <w:style w:type="character" w:customStyle="1" w:styleId="68">
    <w:name w:val="正文文本缩进 字符1"/>
    <w:basedOn w:val="24"/>
    <w:semiHidden/>
    <w:qFormat/>
    <w:uiPriority w:val="99"/>
    <w:rPr>
      <w:kern w:val="2"/>
      <w:sz w:val="21"/>
      <w:szCs w:val="22"/>
    </w:rPr>
  </w:style>
  <w:style w:type="character" w:customStyle="1" w:styleId="69">
    <w:name w:val="日期 字符1"/>
    <w:basedOn w:val="24"/>
    <w:semiHidden/>
    <w:qFormat/>
    <w:uiPriority w:val="99"/>
    <w:rPr>
      <w:kern w:val="2"/>
      <w:sz w:val="21"/>
      <w:szCs w:val="22"/>
    </w:rPr>
  </w:style>
  <w:style w:type="character" w:customStyle="1" w:styleId="70">
    <w:name w:val="正文文本 字符1"/>
    <w:basedOn w:val="24"/>
    <w:semiHidden/>
    <w:qFormat/>
    <w:uiPriority w:val="99"/>
    <w:rPr>
      <w:kern w:val="2"/>
      <w:sz w:val="21"/>
      <w:szCs w:val="22"/>
    </w:rPr>
  </w:style>
  <w:style w:type="character" w:customStyle="1" w:styleId="71">
    <w:name w:val="正文文本 3 字符1"/>
    <w:basedOn w:val="24"/>
    <w:semiHidden/>
    <w:qFormat/>
    <w:uiPriority w:val="99"/>
    <w:rPr>
      <w:kern w:val="2"/>
      <w:sz w:val="16"/>
      <w:szCs w:val="16"/>
    </w:rPr>
  </w:style>
  <w:style w:type="character" w:customStyle="1" w:styleId="72">
    <w:name w:val="批注文字 字符1"/>
    <w:basedOn w:val="24"/>
    <w:semiHidden/>
    <w:qFormat/>
    <w:uiPriority w:val="99"/>
    <w:rPr>
      <w:kern w:val="2"/>
      <w:sz w:val="21"/>
      <w:szCs w:val="22"/>
    </w:rPr>
  </w:style>
  <w:style w:type="character" w:customStyle="1" w:styleId="73">
    <w:name w:val="副标题 字符1"/>
    <w:basedOn w:val="24"/>
    <w:qFormat/>
    <w:uiPriority w:val="11"/>
    <w:rPr>
      <w:rFonts w:hint="eastAsia" w:asciiTheme="minorHAnsi" w:hAnsiTheme="minorHAnsi" w:eastAsiaTheme="minorEastAsia" w:cstheme="minorBidi"/>
      <w:b/>
      <w:bCs/>
      <w:kern w:val="28"/>
      <w:sz w:val="32"/>
      <w:szCs w:val="32"/>
    </w:rPr>
  </w:style>
  <w:style w:type="paragraph" w:customStyle="1" w:styleId="74">
    <w:name w:val="二级条标题"/>
    <w:basedOn w:val="63"/>
    <w:next w:val="47"/>
    <w:qFormat/>
    <w:uiPriority w:val="0"/>
    <w:pPr>
      <w:numPr>
        <w:ilvl w:val="3"/>
        <w:numId w:val="1"/>
      </w:numPr>
      <w:outlineLvl w:val="3"/>
    </w:pPr>
  </w:style>
  <w:style w:type="paragraph" w:customStyle="1" w:styleId="75">
    <w:name w:val="三级条标题"/>
    <w:basedOn w:val="74"/>
    <w:next w:val="47"/>
    <w:qFormat/>
    <w:uiPriority w:val="0"/>
    <w:pPr>
      <w:numPr>
        <w:ilvl w:val="0"/>
        <w:numId w:val="0"/>
      </w:numPr>
      <w:outlineLvl w:val="4"/>
    </w:pPr>
  </w:style>
  <w:style w:type="paragraph" w:customStyle="1" w:styleId="76">
    <w:name w:val="四级条标题"/>
    <w:basedOn w:val="75"/>
    <w:next w:val="47"/>
    <w:qFormat/>
    <w:uiPriority w:val="0"/>
    <w:pPr>
      <w:outlineLvl w:val="5"/>
    </w:pPr>
  </w:style>
  <w:style w:type="paragraph" w:customStyle="1" w:styleId="77">
    <w:name w:val="五级条标题"/>
    <w:basedOn w:val="76"/>
    <w:next w:val="47"/>
    <w:qFormat/>
    <w:uiPriority w:val="0"/>
    <w:pPr>
      <w:outlineLvl w:val="6"/>
    </w:pPr>
  </w:style>
  <w:style w:type="paragraph" w:customStyle="1" w:styleId="78">
    <w:name w:val="修订1"/>
    <w:hidden/>
    <w:unhideWhenUsed/>
    <w:qFormat/>
    <w:uiPriority w:val="99"/>
    <w:rPr>
      <w:rFonts w:ascii="Calibri" w:hAnsi="Calibri" w:eastAsia="宋体" w:cs="Times New Roman"/>
      <w:kern w:val="2"/>
      <w:sz w:val="21"/>
      <w:szCs w:val="24"/>
      <w:lang w:val="en-US" w:eastAsia="zh-CN" w:bidi="ar-SA"/>
    </w:rPr>
  </w:style>
  <w:style w:type="character" w:customStyle="1" w:styleId="79">
    <w:name w:val="未处理的提及1"/>
    <w:basedOn w:val="24"/>
    <w:semiHidden/>
    <w:unhideWhenUsed/>
    <w:qFormat/>
    <w:uiPriority w:val="99"/>
    <w:rPr>
      <w:color w:val="605E5C"/>
      <w:shd w:val="clear" w:color="auto" w:fill="E1DFDD"/>
    </w:rPr>
  </w:style>
  <w:style w:type="paragraph" w:customStyle="1" w:styleId="80">
    <w:name w:val="样式1"/>
    <w:basedOn w:val="1"/>
    <w:qFormat/>
    <w:uiPriority w:val="99"/>
    <w:rPr>
      <w:rFonts w:ascii="仿宋_GB2312" w:hAnsi="Times New Roman" w:eastAsia="仿宋_GB2312" w:cs="仿宋_GB2312"/>
      <w:sz w:val="28"/>
      <w:szCs w:val="28"/>
    </w:rPr>
  </w:style>
  <w:style w:type="character" w:customStyle="1" w:styleId="81">
    <w:name w:val="fontstyle01"/>
    <w:qFormat/>
    <w:uiPriority w:val="0"/>
    <w:rPr>
      <w:rFonts w:hint="eastAsia" w:ascii="仿宋" w:hAnsi="仿宋" w:eastAsia="仿宋"/>
      <w:color w:val="000000"/>
      <w:sz w:val="32"/>
      <w:szCs w:val="32"/>
    </w:rPr>
  </w:style>
  <w:style w:type="table" w:customStyle="1" w:styleId="82">
    <w:name w:val="Table Normal"/>
    <w:semiHidden/>
    <w:unhideWhenUsed/>
    <w:qFormat/>
    <w:uiPriority w:val="0"/>
    <w:tblPr>
      <w:tblCellMar>
        <w:top w:w="0" w:type="dxa"/>
        <w:left w:w="0" w:type="dxa"/>
        <w:bottom w:w="0" w:type="dxa"/>
        <w:right w:w="0" w:type="dxa"/>
      </w:tblCellMar>
    </w:tblPr>
  </w:style>
  <w:style w:type="paragraph" w:customStyle="1" w:styleId="83">
    <w:name w:val="样式 正文首行缩进 2 + 首行缩进:  2 字符"/>
    <w:qFormat/>
    <w:uiPriority w:val="0"/>
    <w:rPr>
      <w:rFonts w:ascii="Times New Roman" w:hAnsi="Times New Roman" w:eastAsia="宋体" w:cs="Times New Roman"/>
      <w:lang w:val="en-US" w:eastAsia="zh-CN" w:bidi="ar-SA"/>
    </w:rPr>
  </w:style>
  <w:style w:type="paragraph" w:customStyle="1" w:styleId="84">
    <w:name w:val="toc 11"/>
    <w:next w:val="1"/>
    <w:qFormat/>
    <w:uiPriority w:val="0"/>
    <w:pPr>
      <w:wordWrap w:val="0"/>
      <w:jc w:val="both"/>
    </w:pPr>
    <w:rPr>
      <w:rFonts w:ascii="Times New Roman" w:hAnsi="Times New Roman" w:eastAsia="仿宋_GB2312" w:cs="Times New Roman"/>
      <w:kern w:val="0"/>
      <w:sz w:val="21"/>
      <w:szCs w:val="22"/>
      <w:lang w:val="en-US" w:eastAsia="zh-CN" w:bidi="ar-SA"/>
    </w:rPr>
  </w:style>
  <w:style w:type="character" w:customStyle="1" w:styleId="85">
    <w:name w:val="font31"/>
    <w:basedOn w:val="24"/>
    <w:qFormat/>
    <w:uiPriority w:val="0"/>
    <w:rPr>
      <w:rFonts w:ascii="方正小标宋_GBK" w:hAnsi="方正小标宋_GBK" w:eastAsia="方正小标宋_GBK" w:cs="方正小标宋_GBK"/>
      <w:color w:val="000000"/>
      <w:sz w:val="40"/>
      <w:szCs w:val="40"/>
      <w:u w:val="none"/>
    </w:rPr>
  </w:style>
  <w:style w:type="character" w:customStyle="1" w:styleId="86">
    <w:name w:val="font21"/>
    <w:basedOn w:val="24"/>
    <w:qFormat/>
    <w:uiPriority w:val="0"/>
    <w:rPr>
      <w:rFonts w:hint="eastAsia" w:ascii="宋体" w:hAnsi="宋体" w:eastAsia="宋体" w:cs="宋体"/>
      <w:color w:val="000000"/>
      <w:sz w:val="24"/>
      <w:szCs w:val="24"/>
      <w:u w:val="none"/>
    </w:rPr>
  </w:style>
  <w:style w:type="paragraph" w:styleId="87">
    <w:name w:val="No Spacing"/>
    <w:qFormat/>
    <w:uiPriority w:val="1"/>
    <w:pPr>
      <w:widowControl w:val="0"/>
      <w:autoSpaceDE w:val="0"/>
      <w:autoSpaceDN w:val="0"/>
      <w:adjustRightInd w:val="0"/>
    </w:pPr>
    <w:rPr>
      <w:rFonts w:ascii="Times New Roman" w:hAnsi="Times New Roman" w:eastAsia="宋体" w:cs="Times New Roman"/>
      <w:kern w:val="0"/>
      <w:sz w:val="20"/>
      <w:szCs w:val="20"/>
      <w:lang w:val="en-US" w:eastAsia="zh-CN" w:bidi="ar-SA"/>
    </w:rPr>
  </w:style>
  <w:style w:type="paragraph" w:customStyle="1" w:styleId="88">
    <w:name w:val="主送对象"/>
    <w:next w:val="1"/>
    <w:qFormat/>
    <w:uiPriority w:val="0"/>
    <w:pPr>
      <w:spacing w:line="560" w:lineRule="exact"/>
    </w:pPr>
    <w:rPr>
      <w:rFonts w:ascii="Times New Roman" w:hAnsi="Times New Roman" w:eastAsia="仿宋_GB2312" w:cs="仿宋_GB2312"/>
      <w:sz w:val="32"/>
      <w:szCs w:val="32"/>
    </w:rPr>
  </w:style>
  <w:style w:type="character" w:customStyle="1" w:styleId="89">
    <w:name w:val="标题 2 Char"/>
    <w:link w:val="3"/>
    <w:qFormat/>
    <w:uiPriority w:val="0"/>
    <w:rPr>
      <w:rFonts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885F49-99E2-4116-B9DB-D51C9794BA0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56</Pages>
  <Words>23789</Words>
  <Characters>24093</Characters>
  <Lines>25</Lines>
  <Paragraphs>7</Paragraphs>
  <TotalTime>89</TotalTime>
  <ScaleCrop>false</ScaleCrop>
  <LinksUpToDate>false</LinksUpToDate>
  <CharactersWithSpaces>24758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2021-01-21T01:33:00Z</dcterms:created>
  <dc:creator>lenovo</dc:creator>
  <cp:lastModifiedBy>我们的天空、</cp:lastModifiedBy>
  <cp:lastPrinted>2024-08-29T07:29:00Z</cp:lastPrinted>
  <dcterms:modified xsi:type="dcterms:W3CDTF">2026-09-10T03:34:58Z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SaveFontToCloudKey">
    <vt:lpwstr>0_btnclosed</vt:lpwstr>
  </property>
  <property fmtid="{D5CDD505-2E9C-101B-9397-08002B2CF9AE}" pid="4" name="ICV">
    <vt:lpwstr>F369A6D084764C729BEFC1811C104139_13</vt:lpwstr>
  </property>
  <property fmtid="{D5CDD505-2E9C-101B-9397-08002B2CF9AE}" pid="5" name="KSOTemplateDocerSaveRecord">
    <vt:lpwstr>eyJoZGlkIjoiZjJhOGQ5ZTA2ODQ1ZWFhODlhZDEyMmU0YzhmMWY1MGUiLCJ1c2VySWQiOiIyNTUwNDQ1MTQifQ==</vt:lpwstr>
  </property>
</Properties>
</file>