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/>
        <w:jc w:val="left"/>
        <w:textAlignment w:val="baseline"/>
        <w:rPr>
          <w:rFonts w:hint="default" w:ascii="黑体" w:hAnsi="黑体" w:eastAsia="黑体" w:cs="黑体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snapToGrid w:val="0"/>
          <w:color w:val="000000"/>
          <w:spacing w:val="-6"/>
          <w:kern w:val="0"/>
          <w:sz w:val="32"/>
          <w:szCs w:val="32"/>
          <w:lang w:val="en-US" w:eastAsia="zh-CN" w:bidi="ar-SA"/>
        </w:rPr>
        <w:t>附件1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0" w:leftChars="0" w:right="0" w:rightChars="0"/>
        <w:jc w:val="center"/>
        <w:textAlignment w:val="baseline"/>
        <w:rPr>
          <w:rFonts w:hint="eastAsia" w:ascii="宋体" w:hAnsi="宋体" w:eastAsia="宋体" w:cs="宋体"/>
          <w:snapToGrid w:val="0"/>
          <w:color w:val="000000"/>
          <w:spacing w:val="-12"/>
          <w:kern w:val="0"/>
          <w:sz w:val="36"/>
          <w:szCs w:val="36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0" w:leftChars="0" w:right="0" w:rightChars="0"/>
        <w:jc w:val="center"/>
        <w:textAlignment w:val="baseline"/>
        <w:rPr>
          <w:rFonts w:hint="eastAsia" w:ascii="宋体" w:hAnsi="宋体" w:eastAsia="宋体" w:cs="宋体"/>
          <w:snapToGrid w:val="0"/>
          <w:color w:val="000000"/>
          <w:spacing w:val="-12"/>
          <w:kern w:val="0"/>
          <w:sz w:val="36"/>
          <w:szCs w:val="36"/>
          <w:lang w:val="en-US" w:eastAsia="zh-CN" w:bidi="ar-SA"/>
        </w:rPr>
      </w:pPr>
      <w:r>
        <w:rPr>
          <w:rFonts w:hint="eastAsia" w:ascii="宋体" w:hAnsi="宋体" w:eastAsia="宋体" w:cs="宋体"/>
          <w:snapToGrid w:val="0"/>
          <w:color w:val="000000"/>
          <w:spacing w:val="-12"/>
          <w:kern w:val="0"/>
          <w:sz w:val="36"/>
          <w:szCs w:val="36"/>
          <w:lang w:val="en-US" w:eastAsia="zh-CN" w:bidi="ar-SA"/>
        </w:rPr>
        <w:t>湖北省互联网医院基本标准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0" w:leftChars="0" w:right="0" w:rightChars="0"/>
        <w:jc w:val="center"/>
        <w:textAlignment w:val="baseline"/>
        <w:rPr>
          <w:rFonts w:hint="eastAsia" w:ascii="宋体" w:hAnsi="宋体" w:eastAsia="宋体" w:cs="宋体"/>
          <w:snapToGrid w:val="0"/>
          <w:color w:val="000000"/>
          <w:spacing w:val="-12"/>
          <w:kern w:val="0"/>
          <w:sz w:val="36"/>
          <w:szCs w:val="36"/>
          <w:lang w:val="en-US" w:eastAsia="zh-CN" w:bidi="ar-SA"/>
        </w:rPr>
      </w:pPr>
      <w:r>
        <w:rPr>
          <w:rFonts w:hint="eastAsia" w:ascii="宋体" w:hAnsi="宋体" w:eastAsia="宋体" w:cs="宋体"/>
          <w:snapToGrid w:val="0"/>
          <w:color w:val="000000"/>
          <w:spacing w:val="-12"/>
          <w:kern w:val="0"/>
          <w:sz w:val="36"/>
          <w:szCs w:val="36"/>
          <w:lang w:val="en-US" w:eastAsia="zh-CN" w:bidi="ar-SA"/>
        </w:rPr>
        <w:t>(试行)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0" w:leftChars="0" w:right="0" w:rightChars="0"/>
        <w:jc w:val="center"/>
        <w:textAlignment w:val="baseline"/>
        <w:rPr>
          <w:rFonts w:hint="eastAsia" w:ascii="宋体" w:hAnsi="宋体" w:eastAsia="宋体" w:cs="宋体"/>
          <w:snapToGrid w:val="0"/>
          <w:color w:val="000000"/>
          <w:spacing w:val="-12"/>
          <w:kern w:val="0"/>
          <w:sz w:val="36"/>
          <w:szCs w:val="36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互联网医院必须依托实体医院申请设置。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黑体" w:hAnsi="黑体" w:eastAsia="黑体" w:cs="黑体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一、诊疗科目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互联网医院根据开展业务内容确定诊疗科目，不得超出所依托的实体医疗机构诊疗科目范围。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二、科室设置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互联网医院根据开展业务内容设置相应临床科室，并与所依托的实体医疗机构临床科室保持一致。必须设置医疗质量管理部门、信息技术服务与管理部门、药学服务部门。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黑体" w:hAnsi="黑体" w:eastAsia="黑体" w:cs="黑体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三、人员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(一)互联网医院开设的临床科室，其对应的实体医疗机构临床科室至少有1名正高级、1名副高级职称的执业医师注册在本机构(可多点执业)。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(二)有专人负责互联网医院的医疗质量、医疗安全、电子病历的管理，提供互联网医院信息系统维护等技术服务，确保互联网医院系统稳定运行。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(三)有专职药师负责在线处方审核工作，确保业务时间至少有1名药师在岗审核处方。药师人力资源不足时，可通过合作方式，由具备资格的第三方机构药师进行处方审核。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(四)互联网医院应当对医务人员进行电子实名认证，所有在线诊疗、处方必须有医师电子签名。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(五)相关人员必须经过医疗卫生法律法规、医疗服务相关政策、各项规章制度、岗位职责、流程规范和应急预案的培训确保其掌握服务流程，明确可能存在的风险。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黑体" w:hAnsi="黑体" w:eastAsia="黑体" w:cs="黑体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四、房屋和设备设施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(一)用于互联网医院运行的服务器不少于2套，数据库服务器与应用系统服务器需划分。存放服务器的机房应当具备双路供电或紧急发电设施。存储医疗数据的服务器不得存放在境外。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(二)拥有至少2套开展互联网医院业务的音视频通讯系统(含必要的软件系统和硬件设备)。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(三)具备高速率高可靠的网络接入，业务使用的网络带宽不低于10Mbps,且至少由两家宽带网络供应商提供服务。鼓励有条件的互联网医院接入互联网专线、虚拟专用网(VPN),保障医疗相关数据传输服务质量。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(四)建立数据访问控制信息系统，确保系统稳定和服务全程留痕，并与实体医疗机构的HIS、PACS/RIS、LIS系统实现数据交换与共享。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(五)具备远程会诊、远程门诊、远程病理诊断、远程医学影像诊断和远程心电诊断等功能。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(六)医院电子病历系统应用水平分级至少达到4级及以上。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(七)互联网医院信息系统实施第三级信息安全等级保护。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黑体" w:hAnsi="黑体" w:eastAsia="黑体" w:cs="黑体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五、规章制度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  <w:t>建立互联网医疗服务管理体系和相关管理制度、人员岗位职责、服务流程。规章制度应当包括互联网医疗服务管理制度、互联网医院信息系统使用管理制度、互联网医疗质量控制和评价制度、在线处方管理制度、患者知情同意与登记制度、在线医疗文书管理制度、在线复诊患者风险评估与突发状况预防处置制度、人员培训考核制度，停电、断网、设备故障、网络信息安全等突发事件的应急预案。</w:t>
      </w: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left="0" w:leftChars="0" w:right="0" w:rightChars="0" w:firstLine="592" w:firstLineChars="20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tabs>
          <w:tab w:val="left" w:pos="3892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right="0" w:rightChars="0"/>
        <w:jc w:val="both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12"/>
          <w:kern w:val="0"/>
          <w:sz w:val="32"/>
          <w:szCs w:val="32"/>
          <w:lang w:val="en-US" w:eastAsia="zh-CN" w:bidi="ar-SA"/>
        </w:rPr>
      </w:pPr>
      <w:bookmarkStart w:id="0" w:name="_GoBack"/>
      <w:bookmarkEnd w:id="0"/>
    </w:p>
    <w:sectPr>
      <w:headerReference r:id="rId5" w:type="default"/>
      <w:footerReference r:id="rId6" w:type="default"/>
      <w:pgSz w:w="11905" w:h="16840"/>
      <w:pgMar w:top="1962" w:right="1474" w:bottom="1848" w:left="1587" w:header="850" w:footer="992" w:gutter="0"/>
      <w:pgNumType w:fmt="numberInDash"/>
      <w:cols w:space="0" w:num="1"/>
      <w:rtlGutter w:val="0"/>
      <w:docGrid w:linePitch="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D3AEFE14-397A-4BD7-A70C-5FF38E0109E6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5604C24D-3B42-41C4-A527-C9F6863AE69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11DDB1A9-D9D9-498F-AF79-ADA706D6FF2E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keepNext w:val="0"/>
      <w:keepLines w:val="0"/>
      <w:pageBreakBefore w:val="0"/>
      <w:widowControl/>
      <w:tabs>
        <w:tab w:val="left" w:pos="7992"/>
      </w:tabs>
      <w:kinsoku w:val="0"/>
      <w:wordWrap/>
      <w:overflowPunct/>
      <w:topLinePunct w:val="0"/>
      <w:bidi w:val="0"/>
      <w:adjustRightInd w:val="0"/>
      <w:snapToGrid w:val="0"/>
      <w:ind w:right="420" w:rightChars="200"/>
      <w:jc w:val="right"/>
      <w:textAlignment w:val="baseline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TrueTypeFonts/>
  <w:saveSubsetFonts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DhjYjY5YzZhNjVlNzVlZWI3ZWJiNWVjOTMyMDM1NWIifQ=="/>
  </w:docVars>
  <w:rsids>
    <w:rsidRoot w:val="00000000"/>
    <w:rsid w:val="066F2B6D"/>
    <w:rsid w:val="19250041"/>
    <w:rsid w:val="2B351F4D"/>
    <w:rsid w:val="2D9F5D3A"/>
    <w:rsid w:val="314E596C"/>
    <w:rsid w:val="3257105C"/>
    <w:rsid w:val="335E58C9"/>
    <w:rsid w:val="368475B9"/>
    <w:rsid w:val="4C261317"/>
    <w:rsid w:val="5AA11F93"/>
    <w:rsid w:val="6A2627B9"/>
    <w:rsid w:val="6AC15563"/>
    <w:rsid w:val="6C176972"/>
    <w:rsid w:val="7A0A31FB"/>
    <w:rsid w:val="7EFC08E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7</Pages>
  <Words>2823</Words>
  <Characters>2831</Characters>
  <TotalTime>6</TotalTime>
  <ScaleCrop>false</ScaleCrop>
  <LinksUpToDate>false</LinksUpToDate>
  <CharactersWithSpaces>2934</CharactersWithSpaces>
  <Application>WPS Office_12.1.0.15712_F1E327BC-269C-435d-A152-05C5408002CA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2011-07-11T17:38:00Z</dcterms:created>
  <dc:creator>plj</dc:creator>
  <cp:lastModifiedBy>弦</cp:lastModifiedBy>
  <dcterms:modified xsi:type="dcterms:W3CDTF">2023-11-13T07:51:51Z</dcterms:modified>
  <dc:title>Microsoft Word - 鄂卫规[2011]9号.doc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2023-11-08T10:17:28Z</vt:filetime>
  </property>
  <property fmtid="{D5CDD505-2E9C-101B-9397-08002B2CF9AE}" pid="4" name="KSOProductBuildVer">
    <vt:lpwstr>2052-12.1.0.15712</vt:lpwstr>
  </property>
  <property fmtid="{D5CDD505-2E9C-101B-9397-08002B2CF9AE}" pid="5" name="ICV">
    <vt:lpwstr>10615254E759441599E79C8C3A35FF88_12</vt:lpwstr>
  </property>
</Properties>
</file>