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10A9E">
      <w:pPr>
        <w:jc w:val="center"/>
        <w:rPr>
          <w:rFonts w:hint="eastAsia" w:ascii="宋体" w:hAnsi="宋体"/>
          <w:b/>
          <w:bCs w:val="0"/>
          <w:color w:val="000000"/>
          <w:sz w:val="52"/>
          <w:szCs w:val="52"/>
          <w:lang w:val="en-US" w:eastAsia="zh-CN"/>
        </w:rPr>
      </w:pPr>
      <w:r>
        <w:rPr>
          <w:rFonts w:hint="eastAsia" w:ascii="宋体" w:hAnsi="宋体"/>
          <w:b/>
          <w:color w:val="000000"/>
          <w:sz w:val="52"/>
          <w:szCs w:val="52"/>
          <w:lang w:val="en-US" w:eastAsia="zh-CN"/>
        </w:rPr>
        <w:t xml:space="preserve">  </w:t>
      </w:r>
    </w:p>
    <w:p w14:paraId="2B4C073C">
      <w:pPr>
        <w:jc w:val="center"/>
        <w:rPr>
          <w:rFonts w:hint="eastAsia" w:ascii="宋体" w:hAnsi="宋体"/>
          <w:b/>
          <w:color w:val="000000"/>
          <w:sz w:val="52"/>
          <w:szCs w:val="52"/>
          <w:lang w:val="en-US" w:eastAsia="zh-CN"/>
        </w:rPr>
      </w:pPr>
      <w:r>
        <w:rPr>
          <w:rFonts w:hint="eastAsia" w:ascii="宋体" w:hAnsi="宋体"/>
          <w:b/>
          <w:color w:val="000000"/>
          <w:sz w:val="52"/>
          <w:szCs w:val="52"/>
          <w:lang w:val="en-US" w:eastAsia="zh-CN"/>
        </w:rPr>
        <w:t>委机关活动室及司机班等维修</w:t>
      </w:r>
    </w:p>
    <w:p w14:paraId="7B999C7D">
      <w:pPr>
        <w:jc w:val="center"/>
        <w:rPr>
          <w:rFonts w:hint="eastAsia" w:ascii="宋体" w:hAnsi="宋体"/>
          <w:b/>
          <w:color w:val="000000"/>
          <w:sz w:val="52"/>
          <w:szCs w:val="52"/>
          <w:lang w:eastAsia="zh-CN"/>
        </w:rPr>
      </w:pPr>
      <w:r>
        <w:rPr>
          <w:rFonts w:hint="eastAsia" w:ascii="宋体" w:hAnsi="宋体"/>
          <w:b/>
          <w:color w:val="000000"/>
          <w:sz w:val="52"/>
          <w:szCs w:val="52"/>
          <w:lang w:eastAsia="zh-CN"/>
        </w:rPr>
        <w:t>施</w:t>
      </w:r>
    </w:p>
    <w:p w14:paraId="1EF3D891">
      <w:pPr>
        <w:jc w:val="center"/>
        <w:rPr>
          <w:rFonts w:hint="eastAsia" w:ascii="宋体" w:hAnsi="宋体"/>
          <w:b/>
          <w:color w:val="000000"/>
          <w:sz w:val="52"/>
          <w:szCs w:val="52"/>
          <w:lang w:eastAsia="zh-CN"/>
        </w:rPr>
      </w:pPr>
    </w:p>
    <w:p w14:paraId="5CA0FC3F">
      <w:pPr>
        <w:jc w:val="center"/>
        <w:rPr>
          <w:rFonts w:hint="eastAsia" w:ascii="宋体" w:hAnsi="宋体"/>
          <w:b/>
          <w:color w:val="000000"/>
          <w:sz w:val="52"/>
          <w:szCs w:val="52"/>
          <w:lang w:eastAsia="zh-CN"/>
        </w:rPr>
      </w:pPr>
      <w:r>
        <w:rPr>
          <w:rFonts w:hint="eastAsia" w:ascii="宋体" w:hAnsi="宋体"/>
          <w:b/>
          <w:color w:val="000000"/>
          <w:sz w:val="52"/>
          <w:szCs w:val="52"/>
          <w:lang w:eastAsia="zh-CN"/>
        </w:rPr>
        <w:t>工</w:t>
      </w:r>
    </w:p>
    <w:p w14:paraId="67B16366">
      <w:pPr>
        <w:jc w:val="center"/>
        <w:rPr>
          <w:rFonts w:hint="eastAsia" w:ascii="宋体" w:hAnsi="宋体"/>
          <w:b/>
          <w:color w:val="000000"/>
          <w:sz w:val="52"/>
          <w:szCs w:val="52"/>
          <w:lang w:eastAsia="zh-CN"/>
        </w:rPr>
      </w:pPr>
    </w:p>
    <w:p w14:paraId="0E4CB22D">
      <w:pPr>
        <w:jc w:val="center"/>
        <w:rPr>
          <w:rFonts w:hint="eastAsia" w:ascii="宋体" w:hAnsi="宋体"/>
          <w:b/>
          <w:color w:val="000000"/>
          <w:sz w:val="52"/>
          <w:szCs w:val="52"/>
          <w:lang w:eastAsia="zh-CN"/>
        </w:rPr>
      </w:pPr>
      <w:r>
        <w:rPr>
          <w:rFonts w:hint="eastAsia" w:ascii="宋体" w:hAnsi="宋体"/>
          <w:b/>
          <w:color w:val="000000"/>
          <w:sz w:val="52"/>
          <w:szCs w:val="52"/>
          <w:lang w:eastAsia="zh-CN"/>
        </w:rPr>
        <w:t>合</w:t>
      </w:r>
    </w:p>
    <w:p w14:paraId="7FD4EBAE">
      <w:pPr>
        <w:jc w:val="center"/>
        <w:rPr>
          <w:rFonts w:hint="eastAsia" w:ascii="宋体" w:hAnsi="宋体" w:cs="黑体"/>
          <w:b/>
          <w:sz w:val="52"/>
          <w:szCs w:val="52"/>
        </w:rPr>
      </w:pPr>
    </w:p>
    <w:p w14:paraId="654945B8">
      <w:pPr>
        <w:jc w:val="center"/>
        <w:rPr>
          <w:rFonts w:ascii="宋体" w:hAnsi="宋体" w:cs="黑体"/>
          <w:b/>
          <w:sz w:val="52"/>
          <w:szCs w:val="52"/>
        </w:rPr>
      </w:pPr>
      <w:r>
        <w:rPr>
          <w:rFonts w:hint="eastAsia" w:ascii="宋体" w:hAnsi="宋体" w:cs="黑体"/>
          <w:b/>
          <w:sz w:val="52"/>
          <w:szCs w:val="52"/>
        </w:rPr>
        <w:t>同</w:t>
      </w:r>
    </w:p>
    <w:p w14:paraId="50FB8BB4">
      <w:pPr>
        <w:spacing w:line="600" w:lineRule="exact"/>
        <w:jc w:val="center"/>
        <w:rPr>
          <w:rFonts w:hint="eastAsia" w:ascii="宋体" w:hAnsi="宋体" w:cs="宋体"/>
          <w:sz w:val="28"/>
          <w:u w:val="single"/>
          <w:lang w:val="en-US" w:eastAsia="zh-CN"/>
        </w:rPr>
      </w:pPr>
      <w:r>
        <w:rPr>
          <w:rFonts w:hint="eastAsia" w:ascii="宋体" w:hAnsi="宋体" w:cs="宋体"/>
          <w:b/>
          <w:sz w:val="28"/>
        </w:rPr>
        <w:t>工程名称：</w:t>
      </w:r>
      <w:r>
        <w:rPr>
          <w:rFonts w:hint="eastAsia" w:ascii="宋体" w:hAnsi="宋体" w:cs="宋体"/>
          <w:sz w:val="28"/>
          <w:u w:val="single"/>
          <w:lang w:val="en-US" w:eastAsia="zh-CN"/>
        </w:rPr>
        <w:t>委机关活动室及司机班等维修</w:t>
      </w:r>
    </w:p>
    <w:p w14:paraId="4F8BA6F1">
      <w:pPr>
        <w:spacing w:line="600" w:lineRule="exact"/>
        <w:jc w:val="center"/>
        <w:rPr>
          <w:rFonts w:hint="eastAsia" w:ascii="宋体" w:hAnsi="宋体" w:cs="宋体"/>
          <w:sz w:val="28"/>
          <w:u w:val="single"/>
          <w:lang w:val="en-US" w:eastAsia="zh-CN"/>
        </w:rPr>
      </w:pPr>
      <w:r>
        <w:rPr>
          <w:rFonts w:hint="eastAsia" w:ascii="宋体" w:hAnsi="宋体" w:cs="宋体"/>
          <w:b/>
          <w:bCs/>
          <w:sz w:val="28"/>
          <w:u w:val="none"/>
          <w:lang w:eastAsia="zh-CN"/>
        </w:rPr>
        <w:t>工程地点：</w:t>
      </w:r>
      <w:r>
        <w:rPr>
          <w:rFonts w:hint="eastAsia" w:ascii="宋体" w:hAnsi="宋体" w:cs="宋体"/>
          <w:b/>
          <w:bCs/>
          <w:sz w:val="28"/>
          <w:u w:val="single"/>
          <w:lang w:val="en-US" w:eastAsia="zh-CN"/>
        </w:rPr>
        <w:t xml:space="preserve"> </w:t>
      </w:r>
      <w:r>
        <w:rPr>
          <w:rFonts w:hint="eastAsia" w:ascii="宋体" w:hAnsi="宋体" w:cs="宋体"/>
          <w:sz w:val="28"/>
          <w:u w:val="single"/>
          <w:lang w:eastAsia="zh-CN"/>
        </w:rPr>
        <w:t>武汉市</w:t>
      </w:r>
      <w:r>
        <w:rPr>
          <w:rFonts w:hint="eastAsia" w:ascii="宋体" w:hAnsi="宋体" w:cs="宋体"/>
          <w:sz w:val="28"/>
          <w:u w:val="single"/>
          <w:lang w:val="en-US" w:eastAsia="zh-CN"/>
        </w:rPr>
        <w:t>武昌</w:t>
      </w:r>
      <w:r>
        <w:rPr>
          <w:rFonts w:hint="eastAsia" w:ascii="宋体" w:hAnsi="宋体" w:cs="宋体"/>
          <w:sz w:val="28"/>
          <w:u w:val="single"/>
          <w:lang w:eastAsia="zh-CN"/>
        </w:rPr>
        <w:t>区</w:t>
      </w:r>
      <w:r>
        <w:rPr>
          <w:rFonts w:hint="eastAsia" w:ascii="宋体" w:hAnsi="宋体" w:cs="宋体"/>
          <w:sz w:val="28"/>
          <w:u w:val="single"/>
          <w:lang w:val="en-US" w:eastAsia="zh-CN"/>
        </w:rPr>
        <w:t>卓刀泉路39号</w:t>
      </w:r>
    </w:p>
    <w:p w14:paraId="1E7A33E6">
      <w:pPr>
        <w:spacing w:line="600" w:lineRule="exact"/>
        <w:ind w:firstLine="1687" w:firstLineChars="600"/>
        <w:jc w:val="both"/>
        <w:rPr>
          <w:rFonts w:hint="eastAsia" w:ascii="宋体" w:hAnsi="宋体" w:cs="宋体"/>
          <w:sz w:val="28"/>
          <w:u w:val="single"/>
          <w:lang w:val="en-US" w:eastAsia="zh-CN"/>
        </w:rPr>
      </w:pPr>
      <w:r>
        <w:rPr>
          <w:rFonts w:hint="eastAsia" w:ascii="宋体" w:hAnsi="宋体" w:cs="宋体"/>
          <w:b/>
          <w:sz w:val="28"/>
        </w:rPr>
        <w:t>施工单位：</w:t>
      </w:r>
      <w:r>
        <w:rPr>
          <w:rFonts w:hint="eastAsia" w:ascii="宋体" w:hAnsi="宋体" w:cs="宋体"/>
          <w:sz w:val="28"/>
          <w:u w:val="single"/>
          <w:lang w:val="en-US" w:eastAsia="zh-CN"/>
        </w:rPr>
        <w:t xml:space="preserve">                       </w:t>
      </w:r>
    </w:p>
    <w:p w14:paraId="07AF774D">
      <w:pPr>
        <w:spacing w:line="600" w:lineRule="exact"/>
        <w:ind w:firstLine="1687" w:firstLineChars="600"/>
        <w:jc w:val="both"/>
        <w:rPr>
          <w:rFonts w:ascii="宋体"/>
          <w:sz w:val="28"/>
          <w:u w:val="single"/>
        </w:rPr>
      </w:pPr>
      <w:r>
        <w:rPr>
          <w:rFonts w:hint="eastAsia" w:ascii="宋体" w:hAnsi="宋体" w:cs="宋体"/>
          <w:b/>
          <w:sz w:val="28"/>
        </w:rPr>
        <w:t>签订日期：</w:t>
      </w:r>
      <w:r>
        <w:rPr>
          <w:rFonts w:hint="eastAsia" w:ascii="宋体" w:hAnsi="宋体" w:cs="宋体"/>
          <w:b/>
          <w:sz w:val="28"/>
          <w:u w:val="single"/>
          <w:lang w:val="en-US" w:eastAsia="zh-CN"/>
        </w:rPr>
        <w:t xml:space="preserve">        </w:t>
      </w:r>
      <w:r>
        <w:rPr>
          <w:rFonts w:hint="eastAsia" w:ascii="宋体" w:hAnsi="宋体" w:cs="宋体"/>
          <w:b w:val="0"/>
          <w:bCs/>
          <w:sz w:val="28"/>
          <w:u w:val="single"/>
          <w:lang w:val="en-US" w:eastAsia="zh-CN"/>
        </w:rPr>
        <w:t>2025 年   月   日</w:t>
      </w:r>
    </w:p>
    <w:p w14:paraId="48C2A199">
      <w:pPr>
        <w:pStyle w:val="8"/>
        <w:rPr>
          <w:rFonts w:hint="eastAsia"/>
        </w:rPr>
      </w:pPr>
    </w:p>
    <w:p w14:paraId="448ED66B">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69C3CB9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24A863B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2F0E7A67">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667C734F">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75187D7E">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4BB214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7E97569E">
      <w:pPr>
        <w:pageBreakBefore w:val="0"/>
        <w:widowControl w:val="0"/>
        <w:tabs>
          <w:tab w:val="left" w:pos="240"/>
          <w:tab w:val="center" w:pos="4153"/>
        </w:tabs>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p>
    <w:p w14:paraId="48AF6C3B">
      <w:pPr>
        <w:pageBreakBefore w:val="0"/>
        <w:widowControl w:val="0"/>
        <w:tabs>
          <w:tab w:val="left" w:pos="240"/>
          <w:tab w:val="center" w:pos="4153"/>
        </w:tabs>
        <w:kinsoku/>
        <w:wordWrap/>
        <w:overflowPunct/>
        <w:topLinePunct w:val="0"/>
        <w:autoSpaceDE/>
        <w:autoSpaceDN/>
        <w:bidi w:val="0"/>
        <w:adjustRightInd/>
        <w:snapToGrid/>
        <w:spacing w:line="240" w:lineRule="auto"/>
        <w:jc w:val="left"/>
        <w:textAlignment w:val="auto"/>
        <w:rPr>
          <w:rFonts w:hint="eastAsia" w:ascii="宋体" w:hAnsi="宋体" w:cs="宋体"/>
          <w:sz w:val="24"/>
          <w:szCs w:val="24"/>
          <w:u w:val="single"/>
          <w:lang w:eastAsia="zh-CN"/>
        </w:rPr>
      </w:pPr>
      <w:r>
        <w:rPr>
          <w:rFonts w:hint="eastAsia" w:ascii="宋体" w:hAnsi="宋体" w:eastAsia="宋体" w:cs="宋体"/>
          <w:b/>
          <w:sz w:val="24"/>
          <w:szCs w:val="24"/>
        </w:rPr>
        <w:t>甲方（建设方）：</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湖北省卫生健康委员会</w:t>
      </w:r>
    </w:p>
    <w:p w14:paraId="618B1EF7">
      <w:pPr>
        <w:pageBreakBefore w:val="0"/>
        <w:widowControl w:val="0"/>
        <w:tabs>
          <w:tab w:val="left" w:pos="240"/>
          <w:tab w:val="center" w:pos="4153"/>
        </w:tabs>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b/>
          <w:sz w:val="24"/>
          <w:szCs w:val="24"/>
        </w:rPr>
        <w:t>乙方（施工方）：</w:t>
      </w:r>
      <w:r>
        <w:rPr>
          <w:rFonts w:hint="eastAsia" w:ascii="宋体" w:hAnsi="宋体" w:cs="宋体"/>
          <w:sz w:val="24"/>
          <w:szCs w:val="24"/>
          <w:u w:val="single"/>
          <w:lang w:val="en-US" w:eastAsia="zh-CN"/>
        </w:rPr>
        <w:t xml:space="preserve">                     </w:t>
      </w:r>
    </w:p>
    <w:p w14:paraId="5504098D">
      <w:pPr>
        <w:pStyle w:val="4"/>
        <w:pageBreakBefore w:val="0"/>
        <w:widowControl w:val="0"/>
        <w:kinsoku/>
        <w:wordWrap/>
        <w:overflowPunct/>
        <w:topLinePunct w:val="0"/>
        <w:autoSpaceDE/>
        <w:autoSpaceDN/>
        <w:bidi w:val="0"/>
        <w:adjustRightInd/>
        <w:snapToGrid/>
        <w:spacing w:after="0" w:line="240" w:lineRule="auto"/>
        <w:ind w:left="1" w:leftChars="0" w:firstLine="621" w:firstLineChars="259"/>
        <w:textAlignment w:val="auto"/>
        <w:rPr>
          <w:rFonts w:hint="eastAsia" w:ascii="宋体" w:hAnsi="宋体" w:eastAsia="宋体" w:cs="宋体"/>
          <w:sz w:val="24"/>
          <w:szCs w:val="24"/>
        </w:rPr>
      </w:pPr>
      <w:r>
        <w:rPr>
          <w:rFonts w:hint="eastAsia" w:ascii="宋体" w:hAnsi="宋体" w:eastAsia="宋体" w:cs="宋体"/>
          <w:sz w:val="24"/>
          <w:szCs w:val="24"/>
        </w:rPr>
        <w:t>为进一步明确责任，保障甲乙双方的利益，保证工程顺利进行，经双方协商就承包范围、工程工期、工程质量、工程价款、工程款支付等主要事项达成一致意见，在自愿以及完全清楚、理解本协议的基础上，依据《中华人民共和国合同法》、《中华人民共和国建筑法》及其它有关法律、法规的规定，并结合本工程的具体情况，签订本协议。</w:t>
      </w:r>
    </w:p>
    <w:p w14:paraId="54A04012">
      <w:pPr>
        <w:pStyle w:val="18"/>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0" w:name="_Toc462834713"/>
      <w:r>
        <w:rPr>
          <w:rFonts w:hint="eastAsia" w:ascii="宋体" w:hAnsi="宋体" w:eastAsia="宋体" w:cs="宋体"/>
          <w:sz w:val="24"/>
          <w:szCs w:val="24"/>
        </w:rPr>
        <w:t>第一条、工程概况</w:t>
      </w:r>
      <w:bookmarkEnd w:id="0"/>
    </w:p>
    <w:p w14:paraId="34B326D0">
      <w:pPr>
        <w:spacing w:line="600" w:lineRule="exact"/>
        <w:jc w:val="both"/>
        <w:rPr>
          <w:rFonts w:hint="eastAsia" w:ascii="宋体" w:hAnsi="宋体" w:cs="宋体"/>
          <w:sz w:val="28"/>
          <w:u w:val="single"/>
          <w:lang w:val="en-US" w:eastAsia="zh-CN"/>
        </w:rPr>
      </w:pPr>
      <w:r>
        <w:rPr>
          <w:rFonts w:hint="eastAsia" w:ascii="宋体" w:hAnsi="宋体" w:eastAsia="宋体" w:cs="宋体"/>
          <w:b/>
          <w:color w:val="000000"/>
          <w:sz w:val="24"/>
          <w:szCs w:val="24"/>
        </w:rPr>
        <w:t>工程名称：</w:t>
      </w:r>
      <w:r>
        <w:rPr>
          <w:rFonts w:hint="eastAsia" w:ascii="宋体" w:hAnsi="宋体" w:cs="宋体"/>
          <w:sz w:val="28"/>
          <w:u w:val="single"/>
          <w:lang w:val="en-US" w:eastAsia="zh-CN"/>
        </w:rPr>
        <w:t>委机关活动室及司机班等维修。</w:t>
      </w:r>
    </w:p>
    <w:p w14:paraId="2A044860">
      <w:pPr>
        <w:jc w:val="center"/>
        <w:rPr>
          <w:rFonts w:hint="eastAsia" w:ascii="宋体" w:hAnsi="宋体" w:eastAsia="宋体" w:cs="宋体"/>
          <w:color w:val="000000"/>
          <w:sz w:val="24"/>
          <w:szCs w:val="24"/>
        </w:rPr>
      </w:pPr>
    </w:p>
    <w:p w14:paraId="54EB449C">
      <w:pPr>
        <w:pStyle w:val="3"/>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rPr>
      </w:pPr>
      <w:r>
        <w:rPr>
          <w:rFonts w:hint="eastAsia" w:ascii="宋体" w:hAnsi="宋体" w:eastAsia="宋体" w:cs="宋体"/>
          <w:b/>
          <w:color w:val="000000"/>
          <w:sz w:val="24"/>
          <w:szCs w:val="24"/>
        </w:rPr>
        <w:t>工程地点：</w:t>
      </w:r>
      <w:r>
        <w:rPr>
          <w:rFonts w:hint="eastAsia" w:ascii="宋体" w:hAnsi="宋体" w:eastAsia="宋体" w:cs="宋体"/>
          <w:bCs w:val="0"/>
          <w:kern w:val="2"/>
          <w:sz w:val="24"/>
          <w:szCs w:val="24"/>
          <w:u w:val="single"/>
          <w:lang w:val="en-US" w:eastAsia="zh-CN" w:bidi="ar-SA"/>
        </w:rPr>
        <w:t>武汉市武昌区</w:t>
      </w:r>
      <w:r>
        <w:rPr>
          <w:rFonts w:hint="eastAsia" w:hAnsi="宋体" w:cs="宋体"/>
          <w:bCs w:val="0"/>
          <w:kern w:val="2"/>
          <w:sz w:val="24"/>
          <w:szCs w:val="24"/>
          <w:u w:val="single"/>
          <w:lang w:val="en-US" w:eastAsia="zh-CN" w:bidi="ar-SA"/>
        </w:rPr>
        <w:t>卓刀泉39号。</w:t>
      </w:r>
    </w:p>
    <w:p w14:paraId="69BD286F">
      <w:pPr>
        <w:pStyle w:val="18"/>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1" w:name="_Toc462834714"/>
      <w:r>
        <w:rPr>
          <w:rFonts w:hint="eastAsia" w:ascii="宋体" w:hAnsi="宋体" w:eastAsia="宋体" w:cs="宋体"/>
          <w:sz w:val="24"/>
          <w:szCs w:val="24"/>
        </w:rPr>
        <w:t>第二条、承包范围</w:t>
      </w:r>
      <w:bookmarkEnd w:id="1"/>
    </w:p>
    <w:p w14:paraId="1C444FE6">
      <w:pPr>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承包方式</w:t>
      </w:r>
      <w:r>
        <w:rPr>
          <w:rFonts w:hint="eastAsia" w:ascii="宋体" w:hAnsi="宋体" w:eastAsia="宋体" w:cs="宋体"/>
          <w:b/>
          <w:color w:val="000000"/>
          <w:sz w:val="24"/>
          <w:szCs w:val="24"/>
          <w:u w:val="single"/>
        </w:rPr>
        <w:t>：</w:t>
      </w:r>
      <w:r>
        <w:rPr>
          <w:rFonts w:hint="default" w:ascii="宋体" w:hAnsi="宋体" w:eastAsia="宋体" w:cs="宋体"/>
          <w:b/>
          <w:color w:val="000000"/>
          <w:sz w:val="24"/>
          <w:szCs w:val="24"/>
          <w:u w:val="single"/>
        </w:rPr>
        <w:t>乙方包工、包施工材料</w:t>
      </w:r>
      <w:r>
        <w:rPr>
          <w:rFonts w:hint="eastAsia" w:ascii="宋体" w:hAnsi="宋体" w:cs="宋体"/>
          <w:b/>
          <w:color w:val="000000"/>
          <w:sz w:val="24"/>
          <w:szCs w:val="24"/>
          <w:u w:val="single"/>
          <w:lang w:eastAsia="zh-CN"/>
        </w:rPr>
        <w:t>（详见报价清单）</w:t>
      </w:r>
      <w:r>
        <w:rPr>
          <w:rFonts w:hint="eastAsia" w:ascii="宋体" w:hAnsi="宋体" w:cs="宋体"/>
          <w:b/>
          <w:color w:val="000000"/>
          <w:sz w:val="24"/>
          <w:szCs w:val="24"/>
          <w:u w:val="single"/>
          <w:lang w:val="en-US" w:eastAsia="zh-CN"/>
        </w:rPr>
        <w:t>等全包。</w:t>
      </w:r>
      <w:r>
        <w:rPr>
          <w:spacing w:val="2"/>
          <w:sz w:val="28"/>
          <w:szCs w:val="28"/>
        </w:rPr>
        <w:t xml:space="preserve"> </w:t>
      </w:r>
    </w:p>
    <w:p w14:paraId="1DE71016">
      <w:pPr>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color w:val="000000"/>
          <w:sz w:val="24"/>
          <w:szCs w:val="24"/>
        </w:rPr>
        <w:t>承包范围</w:t>
      </w:r>
      <w:r>
        <w:rPr>
          <w:rFonts w:hint="eastAsia" w:ascii="宋体" w:hAnsi="宋体" w:eastAsia="宋体" w:cs="宋体"/>
          <w:b/>
          <w:color w:val="000000"/>
          <w:sz w:val="24"/>
          <w:szCs w:val="24"/>
          <w:u w:val="single"/>
        </w:rPr>
        <w:t>：</w:t>
      </w:r>
      <w:bookmarkStart w:id="2" w:name="_Toc462834715"/>
      <w:r>
        <w:rPr>
          <w:rFonts w:hint="eastAsia" w:ascii="宋体" w:hAnsi="宋体" w:cs="宋体"/>
          <w:b/>
          <w:color w:val="000000"/>
          <w:sz w:val="24"/>
          <w:szCs w:val="24"/>
          <w:u w:val="single"/>
          <w:lang w:val="en-US" w:eastAsia="zh-CN"/>
        </w:rPr>
        <w:t>详见清单内容</w:t>
      </w:r>
      <w:r>
        <w:rPr>
          <w:rFonts w:hint="eastAsia" w:ascii="宋体" w:hAnsi="宋体" w:cs="宋体"/>
          <w:b/>
          <w:color w:val="000000"/>
          <w:sz w:val="24"/>
          <w:szCs w:val="24"/>
          <w:u w:val="single"/>
          <w:lang w:eastAsia="zh-CN"/>
        </w:rPr>
        <w:t>。</w:t>
      </w:r>
    </w:p>
    <w:p w14:paraId="5AD3A17B">
      <w:pPr>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投标方应踏勘现场，熟悉项目内容和甲方要求，满足清单中的全部内容。</w:t>
      </w:r>
    </w:p>
    <w:p w14:paraId="7D361E2D">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color w:val="000000"/>
          <w:sz w:val="24"/>
          <w:szCs w:val="24"/>
          <w:u w:val="single"/>
        </w:rPr>
      </w:pPr>
    </w:p>
    <w:p w14:paraId="1BE293EB">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第三条、开工及竣工时间</w:t>
      </w:r>
      <w:bookmarkEnd w:id="2"/>
    </w:p>
    <w:p w14:paraId="1E6902F5">
      <w:pPr>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开工时间：</w:t>
      </w:r>
      <w:r>
        <w:rPr>
          <w:rFonts w:hint="eastAsia" w:ascii="宋体" w:hAnsi="宋体" w:eastAsia="宋体" w:cs="宋体"/>
          <w:bCs/>
          <w:color w:val="000000"/>
          <w:sz w:val="24"/>
          <w:szCs w:val="24"/>
          <w:u w:val="single"/>
        </w:rPr>
        <w:t xml:space="preserve"> </w:t>
      </w:r>
      <w:r>
        <w:rPr>
          <w:rFonts w:hint="eastAsia" w:ascii="宋体" w:hAnsi="宋体" w:cs="宋体"/>
          <w:bCs/>
          <w:color w:val="000000"/>
          <w:sz w:val="24"/>
          <w:szCs w:val="24"/>
          <w:u w:val="single"/>
          <w:lang w:val="en-US" w:eastAsia="zh-CN"/>
        </w:rPr>
        <w:t xml:space="preserve"> 2025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cs="宋体"/>
          <w:bCs/>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bCs/>
          <w:color w:val="000000"/>
          <w:sz w:val="24"/>
          <w:szCs w:val="24"/>
        </w:rPr>
        <w:t>日</w:t>
      </w:r>
      <w:r>
        <w:rPr>
          <w:rFonts w:hint="eastAsia" w:ascii="宋体" w:hAnsi="宋体" w:eastAsia="宋体" w:cs="宋体"/>
          <w:color w:val="000000"/>
          <w:sz w:val="24"/>
          <w:szCs w:val="24"/>
        </w:rPr>
        <w:t>；</w:t>
      </w:r>
    </w:p>
    <w:p w14:paraId="4B06180C">
      <w:pPr>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竣工时间：</w:t>
      </w:r>
      <w:r>
        <w:rPr>
          <w:rFonts w:hint="eastAsia" w:ascii="宋体" w:hAnsi="宋体" w:eastAsia="宋体" w:cs="宋体"/>
          <w:bCs/>
          <w:color w:val="000000"/>
          <w:sz w:val="24"/>
          <w:szCs w:val="24"/>
          <w:u w:val="single"/>
        </w:rPr>
        <w:t xml:space="preserve">  </w:t>
      </w:r>
      <w:r>
        <w:rPr>
          <w:rFonts w:hint="eastAsia" w:ascii="宋体" w:hAnsi="宋体" w:cs="宋体"/>
          <w:bCs/>
          <w:color w:val="000000"/>
          <w:sz w:val="24"/>
          <w:szCs w:val="24"/>
          <w:u w:val="single"/>
          <w:lang w:val="en-US" w:eastAsia="zh-CN"/>
        </w:rPr>
        <w:t xml:space="preserve">2025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cs="宋体"/>
          <w:bCs/>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bCs/>
          <w:color w:val="000000"/>
          <w:sz w:val="24"/>
          <w:szCs w:val="24"/>
        </w:rPr>
        <w:t>日。</w:t>
      </w:r>
    </w:p>
    <w:p w14:paraId="32E9BFD2">
      <w:pPr>
        <w:pageBreakBefore w:val="0"/>
        <w:widowControl w:val="0"/>
        <w:numPr>
          <w:ilvl w:val="0"/>
          <w:numId w:val="2"/>
        </w:numPr>
        <w:tabs>
          <w:tab w:val="clear" w:pos="704"/>
        </w:tabs>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rPr>
        <w:t>总工期和起算日：工程工期</w:t>
      </w:r>
      <w:r>
        <w:rPr>
          <w:rFonts w:hint="eastAsia" w:ascii="宋体" w:hAnsi="宋体" w:cs="宋体"/>
          <w:sz w:val="24"/>
          <w:szCs w:val="24"/>
          <w:u w:val="single"/>
          <w:lang w:val="en-US" w:eastAsia="zh-CN"/>
        </w:rPr>
        <w:t>21天</w:t>
      </w:r>
      <w:r>
        <w:rPr>
          <w:rFonts w:hint="eastAsia" w:ascii="宋体" w:hAnsi="宋体" w:eastAsia="宋体" w:cs="宋体"/>
          <w:sz w:val="24"/>
          <w:szCs w:val="24"/>
          <w:u w:val="single"/>
        </w:rPr>
        <w:t>。</w:t>
      </w:r>
      <w:r>
        <w:rPr>
          <w:rFonts w:hint="eastAsia" w:ascii="宋体" w:hAnsi="宋体" w:eastAsia="宋体" w:cs="宋体"/>
          <w:sz w:val="24"/>
          <w:szCs w:val="24"/>
        </w:rPr>
        <w:t>工期起算日</w:t>
      </w:r>
      <w:r>
        <w:rPr>
          <w:rFonts w:hint="eastAsia" w:ascii="宋体" w:hAnsi="宋体" w:cs="宋体"/>
          <w:sz w:val="24"/>
          <w:szCs w:val="24"/>
          <w:lang w:val="en-US" w:eastAsia="zh-CN"/>
        </w:rPr>
        <w:t>自合同签订后开始起算。</w:t>
      </w:r>
    </w:p>
    <w:p w14:paraId="44312905">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3" w:name="_Toc462834716"/>
      <w:r>
        <w:rPr>
          <w:rFonts w:hint="eastAsia" w:ascii="宋体" w:hAnsi="宋体" w:eastAsia="宋体" w:cs="宋体"/>
          <w:sz w:val="24"/>
          <w:szCs w:val="24"/>
        </w:rPr>
        <w:t>第四条、工程质量及要求</w:t>
      </w:r>
      <w:bookmarkEnd w:id="3"/>
    </w:p>
    <w:p w14:paraId="21DD9078">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4"/>
          <w:szCs w:val="24"/>
          <w:u w:val="none"/>
          <w:lang w:val="en-US" w:eastAsia="zh-CN"/>
        </w:rPr>
      </w:pPr>
      <w:r>
        <w:rPr>
          <w:rFonts w:hint="eastAsia" w:ascii="宋体" w:hAnsi="宋体" w:eastAsia="宋体" w:cs="宋体"/>
          <w:sz w:val="24"/>
          <w:szCs w:val="24"/>
          <w:u w:val="none"/>
        </w:rPr>
        <w:t>1</w:t>
      </w:r>
      <w:r>
        <w:rPr>
          <w:rFonts w:hint="eastAsia" w:ascii="宋体" w:hAnsi="宋体" w:cs="宋体"/>
          <w:sz w:val="24"/>
          <w:szCs w:val="24"/>
          <w:u w:val="none"/>
          <w:lang w:eastAsia="zh-CN"/>
        </w:rPr>
        <w:t>.</w:t>
      </w:r>
      <w:r>
        <w:rPr>
          <w:rFonts w:hint="eastAsia" w:ascii="宋体" w:hAnsi="宋体" w:eastAsia="宋体" w:cs="宋体"/>
          <w:sz w:val="24"/>
          <w:szCs w:val="24"/>
          <w:u w:val="none"/>
        </w:rPr>
        <w:t>工程质量标准：国家装修相关专业质量检验标准</w:t>
      </w:r>
      <w:r>
        <w:rPr>
          <w:rFonts w:hint="eastAsia" w:ascii="宋体" w:hAnsi="宋体" w:cs="宋体"/>
          <w:sz w:val="24"/>
          <w:szCs w:val="24"/>
          <w:u w:val="none"/>
          <w:lang w:eastAsia="zh-CN"/>
        </w:rPr>
        <w:t>，</w:t>
      </w:r>
      <w:r>
        <w:rPr>
          <w:rFonts w:hint="eastAsia" w:ascii="宋体" w:hAnsi="宋体" w:cs="宋体"/>
          <w:sz w:val="24"/>
          <w:szCs w:val="24"/>
          <w:u w:val="none"/>
          <w:lang w:val="en-US" w:eastAsia="zh-CN"/>
        </w:rPr>
        <w:t>完成清单内容。</w:t>
      </w:r>
    </w:p>
    <w:p w14:paraId="6A1125B3">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cs="宋体"/>
          <w:sz w:val="24"/>
          <w:szCs w:val="24"/>
          <w:u w:val="none"/>
          <w:lang w:eastAsia="zh-CN"/>
        </w:rPr>
        <w:t>.</w:t>
      </w:r>
      <w:r>
        <w:rPr>
          <w:rFonts w:hint="eastAsia" w:ascii="宋体" w:hAnsi="宋体" w:eastAsia="宋体" w:cs="宋体"/>
          <w:sz w:val="24"/>
          <w:szCs w:val="24"/>
          <w:u w:val="none"/>
        </w:rPr>
        <w:t>文明施工标准：达到市级文明标准；</w:t>
      </w:r>
    </w:p>
    <w:p w14:paraId="4BC4BF40">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3</w:t>
      </w:r>
      <w:r>
        <w:rPr>
          <w:rFonts w:hint="eastAsia" w:ascii="宋体" w:hAnsi="宋体" w:cs="宋体"/>
          <w:sz w:val="24"/>
          <w:szCs w:val="24"/>
          <w:u w:val="none"/>
          <w:lang w:eastAsia="zh-CN"/>
        </w:rPr>
        <w:t>.</w:t>
      </w:r>
      <w:r>
        <w:rPr>
          <w:rFonts w:hint="eastAsia" w:ascii="宋体" w:hAnsi="宋体" w:eastAsia="宋体" w:cs="宋体"/>
          <w:sz w:val="24"/>
          <w:szCs w:val="24"/>
          <w:u w:val="none"/>
        </w:rPr>
        <w:t>安全生产的管理目标：合格并按国家规定安全施工，确保安全无事故</w:t>
      </w:r>
      <w:r>
        <w:rPr>
          <w:rFonts w:hint="eastAsia" w:ascii="宋体" w:hAnsi="宋体" w:cs="宋体"/>
          <w:sz w:val="24"/>
          <w:szCs w:val="24"/>
          <w:u w:val="none"/>
          <w:lang w:eastAsia="zh-CN"/>
        </w:rPr>
        <w:t>。</w:t>
      </w:r>
      <w:r>
        <w:rPr>
          <w:rFonts w:hint="eastAsia" w:ascii="宋体" w:hAnsi="宋体" w:cs="宋体"/>
          <w:sz w:val="24"/>
          <w:szCs w:val="24"/>
          <w:u w:val="none"/>
          <w:lang w:val="en-US" w:eastAsia="zh-CN"/>
        </w:rPr>
        <w:t>乙方应为相应人员购买保险。</w:t>
      </w:r>
    </w:p>
    <w:p w14:paraId="582FC4E7">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u w:val="none"/>
          <w:lang w:val="en-US" w:eastAsia="zh-CN"/>
        </w:rPr>
      </w:pPr>
      <w:r>
        <w:rPr>
          <w:rFonts w:hint="eastAsia" w:ascii="宋体" w:hAnsi="宋体" w:cs="宋体"/>
          <w:sz w:val="24"/>
          <w:szCs w:val="24"/>
          <w:u w:val="none"/>
          <w:lang w:val="en-US" w:eastAsia="zh-CN"/>
        </w:rPr>
        <w:t>4.材料进场。所有材料必须与 、清单一致，满足合同要求。所有材料进场必须经过甲方、监理认可，方可进场施工。否则予以清退，2000元/次处罚，次数不限，在工程款支付的时候予以扣除。若合同，清单、 不一致的地方，以较为严格的执行。</w:t>
      </w:r>
    </w:p>
    <w:p w14:paraId="43B44D0A">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FF0000"/>
          <w:sz w:val="24"/>
          <w:szCs w:val="24"/>
        </w:rPr>
      </w:pPr>
      <w:bookmarkStart w:id="4" w:name="_Toc462834717"/>
      <w:r>
        <w:rPr>
          <w:rFonts w:hint="eastAsia" w:ascii="宋体" w:hAnsi="宋体" w:eastAsia="宋体" w:cs="宋体"/>
          <w:sz w:val="24"/>
          <w:szCs w:val="24"/>
        </w:rPr>
        <w:t>第五条、合同价款</w:t>
      </w:r>
      <w:bookmarkEnd w:id="4"/>
    </w:p>
    <w:p w14:paraId="6DC3756F">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000000"/>
          <w:sz w:val="24"/>
          <w:szCs w:val="24"/>
        </w:rPr>
      </w:pPr>
      <w:r>
        <w:rPr>
          <w:rFonts w:hint="eastAsia" w:ascii="宋体" w:hAnsi="宋体" w:eastAsia="宋体" w:cs="宋体"/>
          <w:b/>
          <w:bCs w:val="0"/>
          <w:sz w:val="24"/>
          <w:szCs w:val="24"/>
        </w:rPr>
        <w:t>1</w:t>
      </w:r>
      <w:r>
        <w:rPr>
          <w:rFonts w:hint="eastAsia" w:ascii="宋体" w:hAnsi="宋体" w:eastAsia="宋体" w:cs="宋体"/>
          <w:b/>
          <w:bCs w:val="0"/>
          <w:color w:val="000000"/>
          <w:sz w:val="24"/>
          <w:szCs w:val="24"/>
        </w:rPr>
        <w:t>、本合同总价</w:t>
      </w:r>
      <w:r>
        <w:rPr>
          <w:rFonts w:hint="eastAsia" w:ascii="宋体" w:hAnsi="宋体" w:cs="宋体"/>
          <w:b/>
          <w:bCs w:val="0"/>
          <w:color w:val="000000"/>
          <w:sz w:val="24"/>
          <w:szCs w:val="24"/>
          <w:u w:val="single"/>
          <w:lang w:val="en-US" w:eastAsia="zh-CN"/>
        </w:rPr>
        <w:t xml:space="preserve">                 </w:t>
      </w:r>
      <w:r>
        <w:rPr>
          <w:rFonts w:hint="eastAsia" w:ascii="宋体" w:hAnsi="宋体" w:eastAsia="宋体" w:cs="宋体"/>
          <w:b/>
          <w:bCs w:val="0"/>
          <w:color w:val="000000"/>
          <w:sz w:val="24"/>
          <w:szCs w:val="24"/>
        </w:rPr>
        <w:t>元，（</w:t>
      </w:r>
      <w:r>
        <w:rPr>
          <w:rFonts w:hint="eastAsia" w:ascii="宋体" w:hAnsi="宋体" w:eastAsia="宋体" w:cs="宋体"/>
          <w:b/>
          <w:bCs w:val="0"/>
          <w:color w:val="000000"/>
          <w:sz w:val="24"/>
          <w:szCs w:val="24"/>
          <w:u w:val="single"/>
        </w:rPr>
        <w:t>大写：</w:t>
      </w:r>
      <w:r>
        <w:rPr>
          <w:rFonts w:hint="eastAsia" w:ascii="宋体" w:hAnsi="宋体" w:cs="宋体"/>
          <w:b/>
          <w:bCs w:val="0"/>
          <w:color w:val="000000"/>
          <w:sz w:val="24"/>
          <w:szCs w:val="24"/>
          <w:u w:val="single"/>
          <w:lang w:val="en-US" w:eastAsia="zh-CN"/>
        </w:rPr>
        <w:t xml:space="preserve">                </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eastAsia="zh-CN"/>
        </w:rPr>
        <w:t>（含税）</w:t>
      </w:r>
      <w:r>
        <w:rPr>
          <w:rFonts w:hint="eastAsia" w:ascii="宋体" w:hAnsi="宋体" w:eastAsia="宋体" w:cs="宋体"/>
          <w:b/>
          <w:bCs w:val="0"/>
          <w:color w:val="000000"/>
          <w:sz w:val="24"/>
          <w:szCs w:val="24"/>
        </w:rPr>
        <w:t>。</w:t>
      </w:r>
    </w:p>
    <w:p w14:paraId="2F42CEF6">
      <w:pPr>
        <w:pageBreakBefore w:val="0"/>
        <w:widowControl w:val="0"/>
        <w:kinsoku/>
        <w:wordWrap/>
        <w:overflowPunct/>
        <w:topLinePunct w:val="0"/>
        <w:autoSpaceDE/>
        <w:autoSpaceDN/>
        <w:bidi w:val="0"/>
        <w:adjustRightInd/>
        <w:snapToGrid/>
        <w:spacing w:line="240" w:lineRule="auto"/>
        <w:ind w:left="360"/>
        <w:jc w:val="center"/>
        <w:textAlignment w:val="auto"/>
        <w:rPr>
          <w:rFonts w:hint="eastAsia" w:ascii="宋体" w:hAnsi="宋体" w:eastAsia="宋体" w:cs="宋体"/>
          <w:b/>
          <w:bCs w:val="0"/>
          <w:color w:val="000000"/>
          <w:sz w:val="24"/>
          <w:szCs w:val="24"/>
        </w:rPr>
      </w:pPr>
    </w:p>
    <w:p w14:paraId="41636F53">
      <w:pPr>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乙方在签订本合同前已清楚并考虑验收、</w:t>
      </w:r>
      <w:r>
        <w:rPr>
          <w:rFonts w:hint="eastAsia" w:ascii="宋体" w:hAnsi="宋体" w:cs="宋体"/>
          <w:sz w:val="24"/>
          <w:szCs w:val="24"/>
          <w:lang w:val="en-US" w:eastAsia="zh-CN"/>
        </w:rPr>
        <w:t>施工</w:t>
      </w:r>
      <w:r>
        <w:rPr>
          <w:rFonts w:hint="eastAsia" w:ascii="宋体" w:hAnsi="宋体" w:eastAsia="宋体" w:cs="宋体"/>
          <w:sz w:val="24"/>
          <w:szCs w:val="24"/>
        </w:rPr>
        <w:t>周围环境、交通道路、现场条件、承包范围、质量标准、工期、施工</w:t>
      </w:r>
      <w:r>
        <w:rPr>
          <w:rFonts w:hint="eastAsia" w:ascii="宋体" w:hAnsi="宋体" w:cs="宋体"/>
          <w:sz w:val="24"/>
          <w:szCs w:val="24"/>
          <w:lang w:eastAsia="zh-CN"/>
        </w:rPr>
        <w:t xml:space="preserve"> </w:t>
      </w:r>
      <w:r>
        <w:rPr>
          <w:rFonts w:hint="eastAsia" w:ascii="宋体" w:hAnsi="宋体" w:eastAsia="宋体" w:cs="宋体"/>
          <w:sz w:val="24"/>
          <w:szCs w:val="24"/>
        </w:rPr>
        <w:t>、施工组织设计，施工技术措施、相应的包装运输、二次搬运、安全文明施工、施工技术措施（含脚手架）、垂直运输、临时设施、场地清洁、转运、夜间施工、冬雨季施工、保修期内因施工质量问题引起的维修等</w:t>
      </w:r>
      <w:r>
        <w:rPr>
          <w:rFonts w:hint="eastAsia" w:ascii="宋体" w:hAnsi="宋体" w:cs="宋体"/>
          <w:sz w:val="24"/>
          <w:szCs w:val="24"/>
          <w:lang w:val="en-US" w:eastAsia="zh-CN"/>
        </w:rPr>
        <w:t>全部</w:t>
      </w:r>
      <w:r>
        <w:rPr>
          <w:rFonts w:hint="eastAsia" w:ascii="宋体" w:hAnsi="宋体" w:eastAsia="宋体" w:cs="宋体"/>
          <w:sz w:val="24"/>
          <w:szCs w:val="24"/>
        </w:rPr>
        <w:t>因素，并已在合同总价中充分考虑。</w:t>
      </w:r>
    </w:p>
    <w:p w14:paraId="04ED9198">
      <w:pPr>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合同单价中含人工、材料、施工机械、工期、质量、环境保护、职业健康、安全文明施工</w:t>
      </w:r>
      <w:r>
        <w:rPr>
          <w:rFonts w:hint="eastAsia" w:ascii="宋体" w:hAnsi="宋体" w:cs="宋体"/>
          <w:sz w:val="24"/>
          <w:szCs w:val="24"/>
          <w:lang w:val="en-US" w:eastAsia="zh-CN"/>
        </w:rPr>
        <w:t>费</w:t>
      </w:r>
      <w:r>
        <w:rPr>
          <w:rFonts w:hint="eastAsia" w:ascii="宋体" w:hAnsi="宋体" w:eastAsia="宋体" w:cs="宋体"/>
          <w:sz w:val="24"/>
          <w:szCs w:val="24"/>
        </w:rPr>
        <w:t>、管理费、</w:t>
      </w:r>
      <w:r>
        <w:rPr>
          <w:rFonts w:hint="eastAsia" w:ascii="宋体" w:hAnsi="宋体" w:cs="宋体"/>
          <w:sz w:val="24"/>
          <w:szCs w:val="24"/>
          <w:lang w:val="en-US" w:eastAsia="zh-CN"/>
        </w:rPr>
        <w:t>措施费、</w:t>
      </w:r>
      <w:r>
        <w:rPr>
          <w:rFonts w:hint="eastAsia" w:ascii="宋体" w:hAnsi="宋体" w:eastAsia="宋体" w:cs="宋体"/>
          <w:sz w:val="24"/>
          <w:szCs w:val="24"/>
        </w:rPr>
        <w:t>利润、验收、资料归档、税金、市场、政策风险</w:t>
      </w:r>
      <w:r>
        <w:rPr>
          <w:rFonts w:hint="eastAsia" w:ascii="宋体" w:hAnsi="宋体" w:cs="宋体"/>
          <w:sz w:val="24"/>
          <w:szCs w:val="24"/>
          <w:lang w:val="en-US" w:eastAsia="zh-CN"/>
        </w:rPr>
        <w:t>等</w:t>
      </w:r>
      <w:r>
        <w:rPr>
          <w:rFonts w:hint="eastAsia" w:ascii="宋体" w:hAnsi="宋体" w:eastAsia="宋体" w:cs="宋体"/>
          <w:sz w:val="24"/>
          <w:szCs w:val="24"/>
        </w:rPr>
        <w:t>因素所导致的</w:t>
      </w:r>
      <w:r>
        <w:rPr>
          <w:rFonts w:hint="eastAsia" w:ascii="宋体" w:hAnsi="宋体" w:cs="宋体"/>
          <w:sz w:val="24"/>
          <w:szCs w:val="24"/>
          <w:lang w:val="en-US" w:eastAsia="zh-CN"/>
        </w:rPr>
        <w:t>全部</w:t>
      </w:r>
      <w:r>
        <w:rPr>
          <w:rFonts w:hint="eastAsia" w:ascii="宋体" w:hAnsi="宋体" w:eastAsia="宋体" w:cs="宋体"/>
          <w:sz w:val="24"/>
          <w:szCs w:val="24"/>
        </w:rPr>
        <w:t>费用</w:t>
      </w:r>
      <w:r>
        <w:rPr>
          <w:rFonts w:hint="eastAsia" w:ascii="宋体" w:hAnsi="宋体" w:cs="宋体"/>
          <w:sz w:val="24"/>
          <w:szCs w:val="24"/>
          <w:lang w:eastAsia="zh-CN"/>
        </w:rPr>
        <w:t>。</w:t>
      </w:r>
    </w:p>
    <w:p w14:paraId="119B1196">
      <w:pPr>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kern w:val="18"/>
          <w:sz w:val="24"/>
          <w:szCs w:val="24"/>
        </w:rPr>
      </w:pPr>
      <w:r>
        <w:rPr>
          <w:rFonts w:hint="eastAsia" w:ascii="宋体" w:hAnsi="宋体" w:eastAsia="宋体" w:cs="宋体"/>
          <w:sz w:val="24"/>
          <w:szCs w:val="24"/>
        </w:rPr>
        <w:t>合同造价的确定原则：</w:t>
      </w:r>
      <w:r>
        <w:rPr>
          <w:rFonts w:hint="eastAsia" w:ascii="宋体" w:hAnsi="宋体" w:cs="宋体"/>
          <w:sz w:val="24"/>
          <w:szCs w:val="24"/>
          <w:lang w:val="en-US" w:eastAsia="zh-CN"/>
        </w:rPr>
        <w:t>总价包干。</w:t>
      </w:r>
    </w:p>
    <w:p w14:paraId="2C1EAE3F">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5" w:name="_Toc462834718"/>
      <w:r>
        <w:rPr>
          <w:rFonts w:hint="eastAsia" w:ascii="宋体" w:hAnsi="宋体" w:eastAsia="宋体" w:cs="宋体"/>
          <w:sz w:val="24"/>
          <w:szCs w:val="24"/>
        </w:rPr>
        <w:t>第六条、工程进度款</w:t>
      </w:r>
      <w:bookmarkEnd w:id="5"/>
      <w:r>
        <w:rPr>
          <w:rFonts w:hint="eastAsia" w:ascii="宋体" w:hAnsi="宋体" w:eastAsia="宋体" w:cs="宋体"/>
          <w:sz w:val="24"/>
          <w:szCs w:val="24"/>
        </w:rPr>
        <w:t>支付</w:t>
      </w:r>
    </w:p>
    <w:p w14:paraId="7D537AB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工程款支付时由乙方提出付款申请，甲方予以支付工程进度款。</w:t>
      </w:r>
    </w:p>
    <w:p w14:paraId="50BB42EF">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工程进度款支付节点：</w:t>
      </w:r>
    </w:p>
    <w:p w14:paraId="605CBF37">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cs="宋体"/>
          <w:bCs/>
          <w:sz w:val="24"/>
          <w:szCs w:val="24"/>
          <w:u w:val="none"/>
          <w:lang w:val="en-US" w:eastAsia="zh-CN"/>
        </w:rPr>
      </w:pPr>
      <w:r>
        <w:rPr>
          <w:rFonts w:hint="eastAsia" w:ascii="宋体" w:hAnsi="宋体" w:cs="宋体"/>
          <w:bCs/>
          <w:sz w:val="24"/>
          <w:szCs w:val="24"/>
          <w:lang w:val="en-US" w:eastAsia="zh-CN"/>
        </w:rPr>
        <w:t>甲乙双方合同签订后，乙方完成合同、清单、 内全部内容，经甲方验收合格后，支付合同价款的97%，余款满两年后未发生质量问题，支付剩余的3%。</w:t>
      </w:r>
    </w:p>
    <w:p w14:paraId="7AB0BD4D">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Cs/>
          <w:sz w:val="24"/>
          <w:szCs w:val="24"/>
          <w:u w:val="none"/>
          <w:lang w:val="en-US" w:eastAsia="zh-CN"/>
        </w:rPr>
      </w:pPr>
    </w:p>
    <w:p w14:paraId="51A42920">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6" w:name="_Toc462834720"/>
      <w:r>
        <w:rPr>
          <w:rFonts w:hint="eastAsia" w:ascii="宋体" w:hAnsi="宋体" w:eastAsia="宋体" w:cs="宋体"/>
          <w:sz w:val="24"/>
          <w:szCs w:val="24"/>
        </w:rPr>
        <w:t>第</w:t>
      </w:r>
      <w:r>
        <w:rPr>
          <w:rFonts w:hint="eastAsia" w:ascii="宋体" w:hAnsi="宋体" w:cs="宋体"/>
          <w:sz w:val="24"/>
          <w:szCs w:val="24"/>
          <w:lang w:val="en-US" w:eastAsia="zh-CN"/>
        </w:rPr>
        <w:t>七</w:t>
      </w:r>
      <w:r>
        <w:rPr>
          <w:rFonts w:hint="eastAsia" w:ascii="宋体" w:hAnsi="宋体" w:eastAsia="宋体" w:cs="宋体"/>
          <w:sz w:val="24"/>
          <w:szCs w:val="24"/>
        </w:rPr>
        <w:t>条、甲、乙双方责任</w:t>
      </w:r>
      <w:bookmarkEnd w:id="6"/>
    </w:p>
    <w:p w14:paraId="1B27F9CC">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甲方责任：</w:t>
      </w:r>
    </w:p>
    <w:p w14:paraId="2024A8E0">
      <w:pPr>
        <w:pStyle w:val="17"/>
        <w:pageBreakBefore w:val="0"/>
        <w:widowControl w:val="0"/>
        <w:numPr>
          <w:ilvl w:val="0"/>
          <w:numId w:val="5"/>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w:t>
      </w:r>
      <w:r>
        <w:rPr>
          <w:rFonts w:hint="eastAsia" w:ascii="宋体" w:hAnsi="宋体" w:cs="宋体"/>
          <w:color w:val="000000"/>
          <w:sz w:val="24"/>
          <w:szCs w:val="24"/>
          <w:lang w:eastAsia="zh-CN"/>
        </w:rPr>
        <w:t>现场的</w:t>
      </w:r>
      <w:r>
        <w:rPr>
          <w:rFonts w:hint="eastAsia" w:ascii="宋体" w:hAnsi="宋体" w:eastAsia="宋体" w:cs="宋体"/>
          <w:color w:val="000000"/>
          <w:sz w:val="24"/>
          <w:szCs w:val="24"/>
        </w:rPr>
        <w:t>水、电</w:t>
      </w:r>
      <w:r>
        <w:rPr>
          <w:rFonts w:hint="eastAsia" w:ascii="宋体" w:hAnsi="宋体" w:cs="宋体"/>
          <w:color w:val="000000"/>
          <w:sz w:val="24"/>
          <w:szCs w:val="24"/>
          <w:lang w:eastAsia="zh-CN"/>
        </w:rPr>
        <w:t>供</w:t>
      </w:r>
      <w:r>
        <w:rPr>
          <w:rFonts w:hint="eastAsia" w:ascii="宋体" w:hAnsi="宋体" w:eastAsia="宋体" w:cs="宋体"/>
          <w:color w:val="000000"/>
          <w:sz w:val="24"/>
          <w:szCs w:val="24"/>
        </w:rPr>
        <w:t>乙方施工</w:t>
      </w:r>
      <w:r>
        <w:rPr>
          <w:rFonts w:hint="eastAsia" w:ascii="宋体" w:hAnsi="宋体" w:cs="宋体"/>
          <w:color w:val="000000"/>
          <w:sz w:val="24"/>
          <w:szCs w:val="24"/>
          <w:lang w:eastAsia="zh-CN"/>
        </w:rPr>
        <w:t>使用，</w:t>
      </w:r>
      <w:r>
        <w:rPr>
          <w:rFonts w:hint="eastAsia" w:ascii="宋体" w:hAnsi="宋体" w:cs="宋体"/>
          <w:color w:val="000000"/>
          <w:sz w:val="24"/>
          <w:szCs w:val="24"/>
          <w:lang w:val="en-US" w:eastAsia="zh-CN"/>
        </w:rPr>
        <w:t>乙方不得浪费，发现有浪费情况，予以2000元/次处罚</w:t>
      </w:r>
      <w:r>
        <w:rPr>
          <w:rFonts w:hint="eastAsia" w:ascii="宋体" w:hAnsi="宋体" w:eastAsia="宋体" w:cs="宋体"/>
          <w:color w:val="000000"/>
          <w:sz w:val="24"/>
          <w:szCs w:val="24"/>
        </w:rPr>
        <w:t>。</w:t>
      </w:r>
    </w:p>
    <w:p w14:paraId="1B99BE70">
      <w:pPr>
        <w:pStyle w:val="17"/>
        <w:pageBreakBefore w:val="0"/>
        <w:widowControl w:val="0"/>
        <w:numPr>
          <w:ilvl w:val="0"/>
          <w:numId w:val="5"/>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施工期</w:t>
      </w:r>
      <w:r>
        <w:rPr>
          <w:rFonts w:hint="eastAsia" w:ascii="宋体" w:hAnsi="宋体" w:eastAsia="宋体" w:cs="宋体"/>
          <w:bCs/>
          <w:color w:val="000000"/>
          <w:sz w:val="24"/>
          <w:szCs w:val="24"/>
        </w:rPr>
        <w:t>间监督检查工程质量、进度，负责设计</w:t>
      </w:r>
      <w:r>
        <w:rPr>
          <w:rFonts w:hint="eastAsia" w:ascii="宋体" w:hAnsi="宋体" w:cs="宋体"/>
          <w:bCs/>
          <w:color w:val="000000"/>
          <w:sz w:val="24"/>
          <w:szCs w:val="24"/>
          <w:lang w:eastAsia="zh-CN"/>
        </w:rPr>
        <w:t xml:space="preserve"> </w:t>
      </w:r>
      <w:r>
        <w:rPr>
          <w:rFonts w:hint="eastAsia" w:ascii="宋体" w:hAnsi="宋体" w:eastAsia="宋体" w:cs="宋体"/>
          <w:bCs/>
          <w:color w:val="000000"/>
          <w:sz w:val="24"/>
          <w:szCs w:val="24"/>
        </w:rPr>
        <w:t>问题的处理</w:t>
      </w:r>
      <w:r>
        <w:rPr>
          <w:rFonts w:hint="eastAsia" w:ascii="宋体" w:hAnsi="宋体" w:cs="宋体"/>
          <w:bCs/>
          <w:color w:val="000000"/>
          <w:sz w:val="24"/>
          <w:szCs w:val="24"/>
          <w:lang w:eastAsia="zh-CN"/>
        </w:rPr>
        <w:t>、</w:t>
      </w:r>
      <w:r>
        <w:rPr>
          <w:rFonts w:hint="eastAsia" w:ascii="宋体" w:hAnsi="宋体" w:eastAsia="宋体" w:cs="宋体"/>
          <w:bCs/>
          <w:color w:val="000000"/>
          <w:sz w:val="24"/>
          <w:szCs w:val="24"/>
        </w:rPr>
        <w:t>工程进度款的支付等。</w:t>
      </w:r>
    </w:p>
    <w:p w14:paraId="44E3C5F3">
      <w:pPr>
        <w:pStyle w:val="3"/>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甲方根据实际需要，对施工现场布置进行</w:t>
      </w:r>
      <w:r>
        <w:rPr>
          <w:rFonts w:hint="eastAsia" w:hAnsi="宋体" w:cs="宋体"/>
          <w:color w:val="000000"/>
          <w:sz w:val="24"/>
          <w:szCs w:val="24"/>
          <w:lang w:val="en-US" w:eastAsia="zh-CN"/>
        </w:rPr>
        <w:t>局部</w:t>
      </w:r>
      <w:r>
        <w:rPr>
          <w:rFonts w:hint="eastAsia" w:ascii="宋体" w:hAnsi="宋体" w:eastAsia="宋体" w:cs="宋体"/>
          <w:color w:val="000000"/>
          <w:sz w:val="24"/>
          <w:szCs w:val="24"/>
        </w:rPr>
        <w:t>调整、对设计</w:t>
      </w:r>
      <w:r>
        <w:rPr>
          <w:rFonts w:hint="eastAsia" w:hAnsi="宋体" w:cs="宋体"/>
          <w:color w:val="000000"/>
          <w:sz w:val="24"/>
          <w:szCs w:val="24"/>
          <w:lang w:eastAsia="zh-CN"/>
        </w:rPr>
        <w:t xml:space="preserve"> </w:t>
      </w:r>
      <w:r>
        <w:rPr>
          <w:rFonts w:hint="eastAsia" w:ascii="宋体" w:hAnsi="宋体" w:eastAsia="宋体" w:cs="宋体"/>
          <w:color w:val="000000"/>
          <w:sz w:val="24"/>
          <w:szCs w:val="24"/>
        </w:rPr>
        <w:t>进行变更。</w:t>
      </w:r>
    </w:p>
    <w:p w14:paraId="3AA30A74">
      <w:pPr>
        <w:pStyle w:val="3"/>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eastAsia="宋体" w:cs="宋体"/>
          <w:color w:val="000000"/>
          <w:sz w:val="24"/>
          <w:szCs w:val="24"/>
        </w:rPr>
      </w:pPr>
    </w:p>
    <w:p w14:paraId="54A5AC5E">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乙方责任：</w:t>
      </w:r>
    </w:p>
    <w:p w14:paraId="5C4B19E2">
      <w:pPr>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乙方必须按期完成合同及甲方工程师现场规定的内容。</w:t>
      </w:r>
      <w:r>
        <w:rPr>
          <w:rFonts w:hint="eastAsia" w:ascii="宋体" w:hAnsi="宋体" w:cs="宋体"/>
          <w:sz w:val="24"/>
          <w:szCs w:val="24"/>
          <w:lang w:val="en-US" w:eastAsia="zh-CN"/>
        </w:rPr>
        <w:t>否则乙方应按照本合同第十一条1款的约定承担违约责任。如整改后仍不合格的，甲方有权解除本合同。由此造成甲方损失的，乙方还应赔偿其一切经济损失。</w:t>
      </w:r>
    </w:p>
    <w:p w14:paraId="4ECD569A">
      <w:pPr>
        <w:pageBreakBefore w:val="0"/>
        <w:widowControl w:val="0"/>
        <w:numPr>
          <w:ilvl w:val="0"/>
          <w:numId w:val="6"/>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遵守有关法律和规定，接受甲方的指令，按照施工</w:t>
      </w:r>
      <w:r>
        <w:rPr>
          <w:rFonts w:hint="eastAsia" w:ascii="宋体" w:hAnsi="宋体" w:cs="宋体"/>
          <w:color w:val="000000"/>
          <w:sz w:val="24"/>
          <w:szCs w:val="24"/>
          <w:lang w:eastAsia="zh-CN"/>
        </w:rPr>
        <w:t xml:space="preserve"> </w:t>
      </w:r>
      <w:r>
        <w:rPr>
          <w:rFonts w:hint="eastAsia" w:ascii="宋体" w:hAnsi="宋体" w:eastAsia="宋体" w:cs="宋体"/>
          <w:color w:val="000000"/>
          <w:sz w:val="24"/>
          <w:szCs w:val="24"/>
        </w:rPr>
        <w:t>、施工及验收规范进行施工，如发现工程的设计或工程建设标准、技术要求存在错误、遗漏、失误或其它缺陷，应立即通知甲方。乙方在施工过程中如违反国家有关法律、法规和规定，乙方将承担法律责任，并承担由此给甲方造成的一切损失。</w:t>
      </w:r>
    </w:p>
    <w:p w14:paraId="3399FC64">
      <w:pPr>
        <w:pageBreakBefore w:val="0"/>
        <w:widowControl w:val="0"/>
        <w:numPr>
          <w:ilvl w:val="0"/>
          <w:numId w:val="6"/>
        </w:numPr>
        <w:kinsoku/>
        <w:wordWrap/>
        <w:overflowPunct/>
        <w:topLinePunct w:val="0"/>
        <w:autoSpaceDE/>
        <w:autoSpaceDN/>
        <w:bidi w:val="0"/>
        <w:adjustRightInd/>
        <w:snapToGrid/>
        <w:spacing w:line="240" w:lineRule="auto"/>
        <w:ind w:left="900" w:leftChars="20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遵守政府主管部门对施工场地交通、施工噪音以及和安全生产有关的管理规定，按规定办理有关手续，并以书面形式通知甲方，严格遵守有关环境保护法律、法规，并按照环境检查审核要求，加强施工现场的环境管理，在施工过程中严格落实粉尘、</w:t>
      </w:r>
      <w:r>
        <w:rPr>
          <w:rFonts w:hint="eastAsia" w:ascii="宋体" w:hAnsi="宋体" w:cs="宋体"/>
          <w:color w:val="000000"/>
          <w:sz w:val="24"/>
          <w:szCs w:val="24"/>
          <w:lang w:eastAsia="zh-CN"/>
        </w:rPr>
        <w:t>噪音</w:t>
      </w:r>
      <w:r>
        <w:rPr>
          <w:rFonts w:hint="eastAsia" w:ascii="宋体" w:hAnsi="宋体" w:eastAsia="宋体" w:cs="宋体"/>
          <w:color w:val="000000"/>
          <w:sz w:val="24"/>
          <w:szCs w:val="24"/>
        </w:rPr>
        <w:t>等污染防治措施。</w:t>
      </w:r>
    </w:p>
    <w:p w14:paraId="23E3FD19">
      <w:pPr>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乙方应在执行合同过程中，应接受甲方的检查与考核评估。</w:t>
      </w:r>
    </w:p>
    <w:p w14:paraId="03721C27">
      <w:pPr>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乙方采购的所有设备</w:t>
      </w:r>
      <w:r>
        <w:rPr>
          <w:rFonts w:hint="eastAsia" w:ascii="宋体" w:hAnsi="宋体" w:cs="宋体"/>
          <w:color w:val="000000"/>
          <w:sz w:val="24"/>
          <w:szCs w:val="24"/>
          <w:lang w:val="en-US" w:eastAsia="zh-CN"/>
        </w:rPr>
        <w:t>及材料等</w:t>
      </w:r>
      <w:r>
        <w:rPr>
          <w:rFonts w:hint="eastAsia" w:ascii="宋体" w:hAnsi="宋体" w:cs="宋体"/>
          <w:color w:val="000000"/>
          <w:sz w:val="24"/>
          <w:szCs w:val="24"/>
          <w:lang w:eastAsia="zh-CN"/>
        </w:rPr>
        <w:t>在进场时，必须提供出厂合格证或质量报修单及使用说明，与甲方共同组织查验签证，凡不合格或不符合约定要求的产品均必须无条件予以更换并在</w:t>
      </w:r>
      <w:r>
        <w:rPr>
          <w:rFonts w:hint="eastAsia" w:ascii="宋体" w:hAnsi="宋体" w:cs="宋体"/>
          <w:color w:val="000000"/>
          <w:sz w:val="24"/>
          <w:szCs w:val="24"/>
          <w:lang w:val="en-US" w:eastAsia="zh-CN"/>
        </w:rPr>
        <w:t>3日内完成完成更换，且工期不顺延。否则</w:t>
      </w:r>
      <w:r>
        <w:rPr>
          <w:rFonts w:hint="eastAsia" w:ascii="宋体" w:hAnsi="宋体" w:cs="宋体"/>
          <w:color w:val="000000"/>
          <w:sz w:val="24"/>
          <w:szCs w:val="24"/>
          <w:lang w:eastAsia="zh-CN"/>
        </w:rPr>
        <w:t>乙方应按</w:t>
      </w:r>
      <w:r>
        <w:rPr>
          <w:rFonts w:hint="eastAsia" w:ascii="宋体" w:hAnsi="宋体" w:cs="宋体"/>
          <w:sz w:val="24"/>
          <w:szCs w:val="24"/>
          <w:lang w:val="en-US" w:eastAsia="zh-CN"/>
        </w:rPr>
        <w:t>本合同第十一条1款的约定承担违约责任。</w:t>
      </w:r>
    </w:p>
    <w:p w14:paraId="68872B74">
      <w:pPr>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cs="宋体"/>
          <w:sz w:val="24"/>
          <w:szCs w:val="24"/>
          <w:lang w:val="en-US" w:eastAsia="zh-CN"/>
        </w:rPr>
        <w:t>乙方应服从甲方的管理、服从物业的管理。</w:t>
      </w:r>
    </w:p>
    <w:p w14:paraId="0753438E">
      <w:pPr>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cs="宋体"/>
          <w:sz w:val="24"/>
          <w:szCs w:val="24"/>
          <w:lang w:val="en-US" w:eastAsia="zh-CN"/>
        </w:rPr>
        <w:t>乙方施工安排时间应结合现场实际情况和甲方要求</w:t>
      </w:r>
      <w:r>
        <w:rPr>
          <w:rFonts w:hint="eastAsia" w:ascii="宋体" w:hAnsi="宋体" w:cs="宋体"/>
          <w:b/>
          <w:bCs/>
          <w:sz w:val="24"/>
          <w:szCs w:val="24"/>
          <w:lang w:val="en-US" w:eastAsia="zh-CN"/>
        </w:rPr>
        <w:t>，</w:t>
      </w:r>
      <w:r>
        <w:rPr>
          <w:rFonts w:hint="eastAsia" w:ascii="宋体" w:hAnsi="宋体" w:cs="宋体"/>
          <w:sz w:val="24"/>
          <w:szCs w:val="24"/>
          <w:lang w:val="en-US" w:eastAsia="zh-CN"/>
        </w:rPr>
        <w:t>乙方应考虑合理安排工期，由此带来的窝工、功效降低，视为已经考虑在合同内，不再另行增加费用。若因开会或其他原因，乙方需要停止施工等，由此带来的影响视为已经考虑在合同内，不再另行支付其他费用。</w:t>
      </w:r>
    </w:p>
    <w:p w14:paraId="61456049">
      <w:pPr>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乙方投标前，应熟悉施工现场、现场实际情况等，掌握业主方的装修内容。本项目为交钥匙项目，期间均不产生任何额外费用，务必请乙方认真全面考虑。</w:t>
      </w:r>
    </w:p>
    <w:p w14:paraId="36384E28">
      <w:pPr>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乙方应考虑周末、晚上等节假日施工。因此产生的费用，由乙方自行考虑。</w:t>
      </w:r>
    </w:p>
    <w:p w14:paraId="2F9295D7">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7" w:name="_Toc462834721"/>
      <w:r>
        <w:rPr>
          <w:rFonts w:hint="eastAsia" w:ascii="宋体" w:hAnsi="宋体" w:eastAsia="宋体" w:cs="宋体"/>
          <w:sz w:val="24"/>
          <w:szCs w:val="24"/>
        </w:rPr>
        <w:t>第</w:t>
      </w:r>
      <w:r>
        <w:rPr>
          <w:rFonts w:hint="eastAsia" w:ascii="宋体" w:hAnsi="宋体" w:cs="宋体"/>
          <w:sz w:val="24"/>
          <w:szCs w:val="24"/>
          <w:lang w:val="en-US" w:eastAsia="zh-CN"/>
        </w:rPr>
        <w:t>八</w:t>
      </w:r>
      <w:r>
        <w:rPr>
          <w:rFonts w:hint="eastAsia" w:ascii="宋体" w:hAnsi="宋体" w:eastAsia="宋体" w:cs="宋体"/>
          <w:sz w:val="24"/>
          <w:szCs w:val="24"/>
        </w:rPr>
        <w:t>条、安全文明施工和安全责任</w:t>
      </w:r>
      <w:bookmarkEnd w:id="7"/>
    </w:p>
    <w:p w14:paraId="0413DF32">
      <w:pPr>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乙方应当严格遵守国家及工程所在地安全文明施工的法律、行政法规、行政规章和规范要求，并承担因其违反此类规定的合同责任和法律责任。</w:t>
      </w:r>
    </w:p>
    <w:p w14:paraId="4BCCD167">
      <w:pPr>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乙方进场后，</w:t>
      </w:r>
      <w:r>
        <w:rPr>
          <w:rFonts w:hint="eastAsia" w:ascii="宋体" w:hAnsi="宋体" w:cs="宋体"/>
          <w:sz w:val="24"/>
          <w:szCs w:val="24"/>
          <w:lang w:val="en-US" w:eastAsia="zh-CN"/>
        </w:rPr>
        <w:t>应执行</w:t>
      </w:r>
      <w:r>
        <w:rPr>
          <w:rFonts w:hint="eastAsia" w:ascii="宋体" w:hAnsi="宋体" w:eastAsia="宋体" w:cs="宋体"/>
          <w:sz w:val="24"/>
          <w:szCs w:val="24"/>
        </w:rPr>
        <w:t>国家有关标准及武汉市住建局、建管处、文明施工标准。工作中主动与甲方和甲方搞好配合，接受甲方</w:t>
      </w:r>
      <w:r>
        <w:rPr>
          <w:rFonts w:hint="eastAsia" w:ascii="宋体" w:hAnsi="宋体" w:cs="宋体"/>
          <w:sz w:val="24"/>
          <w:szCs w:val="24"/>
          <w:lang w:eastAsia="zh-CN"/>
        </w:rPr>
        <w:t>的监督</w:t>
      </w:r>
      <w:r>
        <w:rPr>
          <w:rFonts w:hint="eastAsia" w:ascii="宋体" w:hAnsi="宋体" w:eastAsia="宋体" w:cs="宋体"/>
          <w:sz w:val="24"/>
          <w:szCs w:val="24"/>
        </w:rPr>
        <w:t>，遵守社会法纪和甲方的各项管理制度，完成合同约定的各项工作内容，确保合同目标的顺利实现。如因乙方原因造成安全事故，导致人身</w:t>
      </w:r>
      <w:r>
        <w:rPr>
          <w:rFonts w:hint="eastAsia" w:ascii="宋体" w:hAnsi="宋体" w:cs="宋体"/>
          <w:sz w:val="24"/>
          <w:szCs w:val="24"/>
          <w:lang w:eastAsia="zh-CN"/>
        </w:rPr>
        <w:t>伤亡和财产损失</w:t>
      </w:r>
      <w:r>
        <w:rPr>
          <w:rFonts w:hint="eastAsia" w:ascii="宋体" w:hAnsi="宋体" w:eastAsia="宋体" w:cs="宋体"/>
          <w:sz w:val="24"/>
          <w:szCs w:val="24"/>
        </w:rPr>
        <w:t>的，乙方应承担全部赔偿责任。</w:t>
      </w:r>
      <w:r>
        <w:rPr>
          <w:rFonts w:hint="eastAsia" w:ascii="宋体" w:hAnsi="宋体" w:cs="宋体"/>
          <w:sz w:val="24"/>
          <w:szCs w:val="24"/>
          <w:lang w:val="en-US" w:eastAsia="zh-CN"/>
        </w:rPr>
        <w:t>各项材料及施工工艺均需满足环保要求。</w:t>
      </w:r>
    </w:p>
    <w:p w14:paraId="6C658BA0">
      <w:pPr>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乙方应遵守政府有关主管部门对施工交通，施工噪音以及环境保护和安全生产等管理规定并负责办理相关手续、承担相应费用。</w:t>
      </w:r>
    </w:p>
    <w:p w14:paraId="200ED0DF">
      <w:pPr>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现场布置须经甲方批准后执行，未经批准和超过合同规定工期的，乙方的临时建筑及施工机械影响其他施工单位施工的必须无条件拆除或移位，不按要求拆除或移位的，由甲方拆除或移位，所发生的费用从乙方工程款中扣除，经过批准在合同工期之内，甲方需要施工单位临建、施工机械迁移的，乙方必须积极配合，费用由甲方承担。故意拖延，拒绝配合的，甲方有权对乙方进行2000元的处罚。</w:t>
      </w:r>
    </w:p>
    <w:p w14:paraId="45FF411F">
      <w:pPr>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乙方应为工程及施工人员购买保险，并出具承诺函。项目过程中发生的任何安全事故，均由乙方承担一切损失。</w:t>
      </w:r>
    </w:p>
    <w:p w14:paraId="58F568CE">
      <w:pPr>
        <w:pStyle w:val="2"/>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8" w:name="_Toc462834722"/>
      <w:r>
        <w:rPr>
          <w:rFonts w:hint="eastAsia" w:ascii="宋体" w:hAnsi="宋体" w:cs="宋体"/>
          <w:sz w:val="24"/>
          <w:szCs w:val="24"/>
          <w:lang w:val="en-US" w:eastAsia="zh-CN"/>
        </w:rPr>
        <w:t xml:space="preserve">第九条 </w:t>
      </w:r>
      <w:r>
        <w:rPr>
          <w:rFonts w:hint="eastAsia" w:ascii="宋体" w:hAnsi="宋体" w:eastAsia="宋体" w:cs="宋体"/>
          <w:sz w:val="24"/>
          <w:szCs w:val="24"/>
        </w:rPr>
        <w:t>工程验收</w:t>
      </w:r>
      <w:bookmarkEnd w:id="8"/>
    </w:p>
    <w:p w14:paraId="4749D97F">
      <w:pPr>
        <w:numPr>
          <w:ilvl w:val="0"/>
          <w:numId w:val="8"/>
        </w:numPr>
        <w:rPr>
          <w:rFonts w:hint="eastAsia"/>
          <w:b/>
          <w:bCs/>
          <w:lang w:val="en-US" w:eastAsia="zh-CN"/>
        </w:rPr>
      </w:pPr>
      <w:r>
        <w:rPr>
          <w:rFonts w:hint="eastAsia"/>
          <w:b/>
          <w:bCs/>
          <w:lang w:val="en-US" w:eastAsia="zh-CN"/>
        </w:rPr>
        <w:t>材料进场验收</w:t>
      </w:r>
    </w:p>
    <w:p w14:paraId="41E1D7DB">
      <w:pPr>
        <w:numPr>
          <w:ilvl w:val="0"/>
          <w:numId w:val="9"/>
        </w:numPr>
        <w:rPr>
          <w:rFonts w:hint="eastAsia"/>
          <w:lang w:val="en-US" w:eastAsia="zh-CN"/>
        </w:rPr>
      </w:pPr>
      <w:r>
        <w:rPr>
          <w:rFonts w:hint="eastAsia"/>
          <w:lang w:val="en-US" w:eastAsia="zh-CN"/>
        </w:rPr>
        <w:t>所有材料进场验收必须经过甲方、业主方验收。材料品牌参数、规格、型号与 、清单一致。</w:t>
      </w:r>
    </w:p>
    <w:p w14:paraId="19708D85">
      <w:pPr>
        <w:numPr>
          <w:ilvl w:val="0"/>
          <w:numId w:val="9"/>
        </w:numPr>
        <w:rPr>
          <w:rFonts w:hint="default"/>
          <w:lang w:val="en-US" w:eastAsia="zh-CN"/>
        </w:rPr>
      </w:pPr>
      <w:r>
        <w:rPr>
          <w:rFonts w:hint="eastAsia"/>
          <w:lang w:val="en-US" w:eastAsia="zh-CN"/>
        </w:rPr>
        <w:t>经过验收的材料，需填写材料验收单，留图片、视频依据，手续齐全方可用于施工。材料虽经验收，但乙方夹杂不符合要求的材料，甲方有权要求乙方返工，且不支付任何费用，工期不予顺延，予以2000元/次罚款。</w:t>
      </w:r>
    </w:p>
    <w:p w14:paraId="17C0F619">
      <w:pPr>
        <w:numPr>
          <w:ilvl w:val="0"/>
          <w:numId w:val="9"/>
        </w:numPr>
        <w:rPr>
          <w:rFonts w:hint="default"/>
          <w:lang w:val="en-US" w:eastAsia="zh-CN"/>
        </w:rPr>
      </w:pPr>
      <w:r>
        <w:rPr>
          <w:rFonts w:hint="eastAsia"/>
          <w:lang w:val="en-US" w:eastAsia="zh-CN"/>
        </w:rPr>
        <w:t>未经验收，无论材料合格与否，均需要退场，并予以2000元/次罚款。</w:t>
      </w:r>
    </w:p>
    <w:p w14:paraId="09A9020E">
      <w:pPr>
        <w:numPr>
          <w:ilvl w:val="0"/>
          <w:numId w:val="8"/>
        </w:numPr>
        <w:ind w:left="0" w:leftChars="0" w:firstLine="0" w:firstLineChars="0"/>
        <w:rPr>
          <w:rFonts w:hint="eastAsia"/>
          <w:lang w:val="en-US" w:eastAsia="zh-CN"/>
        </w:rPr>
      </w:pPr>
      <w:r>
        <w:rPr>
          <w:rFonts w:hint="eastAsia"/>
          <w:lang w:val="en-US" w:eastAsia="zh-CN"/>
        </w:rPr>
        <w:t>竣工验收</w:t>
      </w:r>
    </w:p>
    <w:p w14:paraId="48172F7C">
      <w:pPr>
        <w:numPr>
          <w:ilvl w:val="0"/>
          <w:numId w:val="0"/>
        </w:numPr>
        <w:ind w:leftChars="0"/>
        <w:rPr>
          <w:rFonts w:hint="default"/>
          <w:lang w:val="en-US" w:eastAsia="zh-CN"/>
        </w:rPr>
      </w:pPr>
      <w:r>
        <w:rPr>
          <w:rFonts w:hint="eastAsia"/>
          <w:lang w:val="en-US" w:eastAsia="zh-CN"/>
        </w:rPr>
        <w:t>1.乙方完成清单所有内容后，申请验收。验收合格后，方可支付款项。</w:t>
      </w:r>
    </w:p>
    <w:p w14:paraId="700541AB">
      <w:pPr>
        <w:pageBreakBefore w:val="0"/>
        <w:widowControl w:val="0"/>
        <w:numPr>
          <w:ilvl w:val="0"/>
          <w:numId w:val="0"/>
        </w:numPr>
        <w:kinsoku/>
        <w:wordWrap/>
        <w:overflowPunct/>
        <w:topLinePunct w:val="0"/>
        <w:autoSpaceDE/>
        <w:autoSpaceDN/>
        <w:bidi w:val="0"/>
        <w:adjustRightInd/>
        <w:snapToGrid/>
        <w:spacing w:line="240" w:lineRule="auto"/>
        <w:ind w:left="360" w:leftChars="0" w:firstLine="240" w:firstLineChars="1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w:t>
      </w:r>
    </w:p>
    <w:p w14:paraId="4D68BFF6">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9" w:name="_Toc462834723"/>
      <w:r>
        <w:rPr>
          <w:rFonts w:hint="eastAsia" w:ascii="宋体" w:hAnsi="宋体" w:eastAsia="宋体" w:cs="宋体"/>
          <w:sz w:val="24"/>
          <w:szCs w:val="24"/>
        </w:rPr>
        <w:t>第十条、违约责任</w:t>
      </w:r>
      <w:bookmarkEnd w:id="9"/>
    </w:p>
    <w:p w14:paraId="5DCFDCF7">
      <w:pPr>
        <w:pageBreakBefore w:val="0"/>
        <w:widowControl w:val="0"/>
        <w:numPr>
          <w:ilvl w:val="0"/>
          <w:numId w:val="10"/>
        </w:numPr>
        <w:kinsoku/>
        <w:wordWrap/>
        <w:overflowPunct/>
        <w:topLinePunct w:val="0"/>
        <w:autoSpaceDE/>
        <w:autoSpaceDN/>
        <w:bidi w:val="0"/>
        <w:adjustRightInd/>
        <w:snapToGrid/>
        <w:spacing w:line="240" w:lineRule="auto"/>
        <w:ind w:right="560"/>
        <w:textAlignment w:val="auto"/>
        <w:rPr>
          <w:rFonts w:hint="eastAsia" w:ascii="宋体" w:hAnsi="宋体" w:eastAsia="宋体" w:cs="宋体"/>
          <w:sz w:val="24"/>
          <w:szCs w:val="24"/>
        </w:rPr>
      </w:pPr>
      <w:r>
        <w:rPr>
          <w:rFonts w:hint="eastAsia" w:ascii="宋体" w:hAnsi="宋体" w:eastAsia="宋体" w:cs="宋体"/>
          <w:sz w:val="24"/>
          <w:szCs w:val="24"/>
        </w:rPr>
        <w:t>逾期竣工违约责任</w:t>
      </w:r>
    </w:p>
    <w:p w14:paraId="5AEEB623">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如果乙方未能按照合同规定的工期完成合同工程，</w:t>
      </w:r>
      <w:r>
        <w:rPr>
          <w:rFonts w:hint="eastAsia" w:ascii="宋体" w:hAnsi="宋体" w:cs="宋体"/>
          <w:bCs/>
          <w:sz w:val="24"/>
          <w:szCs w:val="24"/>
          <w:lang w:eastAsia="zh-CN"/>
        </w:rPr>
        <w:t>每逾期一日，乙方应按照本合同总价款的万分之三向甲方支付违约金。逾期达</w:t>
      </w:r>
      <w:r>
        <w:rPr>
          <w:rFonts w:hint="eastAsia" w:ascii="宋体" w:hAnsi="宋体" w:cs="宋体"/>
          <w:bCs/>
          <w:sz w:val="24"/>
          <w:szCs w:val="24"/>
          <w:lang w:val="en-US" w:eastAsia="zh-CN"/>
        </w:rPr>
        <w:t>20日，</w:t>
      </w:r>
      <w:r>
        <w:rPr>
          <w:rFonts w:hint="eastAsia" w:ascii="宋体" w:hAnsi="宋体" w:cs="宋体"/>
          <w:sz w:val="24"/>
          <w:szCs w:val="24"/>
          <w:lang w:val="en-US" w:eastAsia="zh-CN"/>
        </w:rPr>
        <w:t>甲方有权解除合同，由此造成甲方损失的，乙方还应赔偿其一切经济损失。</w:t>
      </w:r>
    </w:p>
    <w:p w14:paraId="20CEF0D9">
      <w:pPr>
        <w:pageBreakBefore w:val="0"/>
        <w:widowControl w:val="0"/>
        <w:kinsoku/>
        <w:wordWrap/>
        <w:overflowPunct/>
        <w:topLinePunct w:val="0"/>
        <w:autoSpaceDE/>
        <w:autoSpaceDN/>
        <w:bidi w:val="0"/>
        <w:adjustRightInd/>
        <w:snapToGrid/>
        <w:spacing w:line="240" w:lineRule="auto"/>
        <w:ind w:right="26" w:firstLine="480" w:firstLineChars="200"/>
        <w:textAlignment w:val="auto"/>
        <w:rPr>
          <w:rFonts w:hint="default" w:ascii="宋体" w:hAnsi="宋体" w:eastAsia="宋体" w:cs="宋体"/>
          <w:bCs/>
          <w:sz w:val="24"/>
          <w:szCs w:val="24"/>
          <w:lang w:val="en-US" w:eastAsia="zh-CN"/>
        </w:rPr>
      </w:pPr>
    </w:p>
    <w:p w14:paraId="2B0FA2B9">
      <w:pPr>
        <w:pStyle w:val="3"/>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sz w:val="24"/>
          <w:szCs w:val="24"/>
        </w:rPr>
        <w:t>不可抗力包括因战争、动乱、空中飞行物坠落或其他非甲乙方责任造成的自</w:t>
      </w:r>
      <w:r>
        <w:rPr>
          <w:rFonts w:hint="eastAsia" w:ascii="宋体" w:hAnsi="宋体" w:eastAsia="宋体" w:cs="宋体"/>
          <w:bCs w:val="0"/>
          <w:sz w:val="24"/>
          <w:szCs w:val="24"/>
        </w:rPr>
        <w:t>然灾害（烈度为6级以上的地震，7级以上持续24小时的大风，持续降雨24小时且降雨量为200mm以上/下雪量为10mm及以上，40度及以上持续24小时的高温，-15度及以下持续24小时的低温）。不可抗力事件发生后，乙方应立即通知甲方，并迅速采取措施尽力减少损失，甲方应协助乙方采取措施。因不可抗力事件导致的费用由双方协商分别承担，工期经甲方和乙方确认后予以顺延。</w:t>
      </w:r>
    </w:p>
    <w:p w14:paraId="0449822E">
      <w:pPr>
        <w:pageBreakBefore w:val="0"/>
        <w:widowControl w:val="0"/>
        <w:numPr>
          <w:ilvl w:val="0"/>
          <w:numId w:val="10"/>
        </w:numPr>
        <w:kinsoku/>
        <w:wordWrap/>
        <w:overflowPunct/>
        <w:topLinePunct w:val="0"/>
        <w:autoSpaceDE/>
        <w:autoSpaceDN/>
        <w:bidi w:val="0"/>
        <w:adjustRightInd/>
        <w:snapToGrid/>
        <w:spacing w:line="240" w:lineRule="auto"/>
        <w:ind w:right="26"/>
        <w:textAlignment w:val="auto"/>
        <w:rPr>
          <w:rFonts w:hint="eastAsia" w:ascii="宋体" w:hAnsi="宋体" w:eastAsia="宋体" w:cs="宋体"/>
          <w:sz w:val="24"/>
          <w:szCs w:val="24"/>
        </w:rPr>
      </w:pPr>
      <w:r>
        <w:rPr>
          <w:rFonts w:hint="eastAsia" w:ascii="宋体" w:hAnsi="宋体" w:eastAsia="宋体" w:cs="宋体"/>
          <w:sz w:val="24"/>
          <w:szCs w:val="24"/>
        </w:rPr>
        <w:t>工程质量经过初次验收不合格需要修复的，乙方承担修复责任。因为修复工程导致工程逾期交付的，乙方承担工程逾期交付的违约责任。</w:t>
      </w:r>
    </w:p>
    <w:p w14:paraId="2A7F3D6D">
      <w:pPr>
        <w:pageBreakBefore w:val="0"/>
        <w:widowControl w:val="0"/>
        <w:numPr>
          <w:ilvl w:val="0"/>
          <w:numId w:val="10"/>
        </w:numPr>
        <w:kinsoku/>
        <w:wordWrap/>
        <w:overflowPunct/>
        <w:topLinePunct w:val="0"/>
        <w:autoSpaceDE/>
        <w:autoSpaceDN/>
        <w:bidi w:val="0"/>
        <w:adjustRightInd/>
        <w:snapToGrid/>
        <w:spacing w:line="240" w:lineRule="auto"/>
        <w:ind w:right="26"/>
        <w:textAlignment w:val="auto"/>
        <w:rPr>
          <w:rFonts w:hint="eastAsia" w:ascii="宋体" w:hAnsi="宋体" w:eastAsia="宋体" w:cs="宋体"/>
          <w:sz w:val="24"/>
          <w:szCs w:val="24"/>
        </w:rPr>
      </w:pPr>
      <w:r>
        <w:rPr>
          <w:rFonts w:hint="eastAsia" w:ascii="宋体" w:hAnsi="宋体" w:cs="宋体"/>
          <w:sz w:val="24"/>
          <w:szCs w:val="24"/>
          <w:lang w:val="en-US" w:eastAsia="zh-CN"/>
        </w:rPr>
        <w:t>各项材料应严格按照清单选购国家规定的质量合格产品，各项材料应经过甲方验收后方可施工。若未经过甲方验收，直接施工，予以2000元/处的处罚。</w:t>
      </w:r>
    </w:p>
    <w:p w14:paraId="3BCE412E">
      <w:pPr>
        <w:pageBreakBefore w:val="0"/>
        <w:widowControl w:val="0"/>
        <w:numPr>
          <w:ilvl w:val="0"/>
          <w:numId w:val="10"/>
        </w:numPr>
        <w:kinsoku/>
        <w:wordWrap/>
        <w:overflowPunct/>
        <w:topLinePunct w:val="0"/>
        <w:autoSpaceDE/>
        <w:autoSpaceDN/>
        <w:bidi w:val="0"/>
        <w:adjustRightInd/>
        <w:snapToGrid/>
        <w:spacing w:line="240" w:lineRule="auto"/>
        <w:ind w:right="26"/>
        <w:textAlignment w:val="auto"/>
        <w:rPr>
          <w:rFonts w:hint="eastAsia" w:ascii="宋体" w:hAnsi="宋体" w:eastAsia="宋体" w:cs="宋体"/>
          <w:sz w:val="24"/>
          <w:szCs w:val="24"/>
        </w:rPr>
      </w:pPr>
      <w:r>
        <w:rPr>
          <w:rFonts w:hint="eastAsia" w:ascii="宋体" w:hAnsi="宋体" w:cs="宋体"/>
          <w:sz w:val="24"/>
          <w:szCs w:val="24"/>
          <w:lang w:val="en-US" w:eastAsia="zh-CN"/>
        </w:rPr>
        <w:t>乙方应按照国家、武汉市针的施工标准进行施工，发现乙方违规施工，予以1000元/处的处罚。</w:t>
      </w:r>
    </w:p>
    <w:p w14:paraId="4AC7BF9D">
      <w:pPr>
        <w:pageBreakBefore w:val="0"/>
        <w:widowControl w:val="0"/>
        <w:numPr>
          <w:ilvl w:val="0"/>
          <w:numId w:val="10"/>
        </w:numPr>
        <w:kinsoku/>
        <w:wordWrap/>
        <w:overflowPunct/>
        <w:topLinePunct w:val="0"/>
        <w:autoSpaceDE/>
        <w:autoSpaceDN/>
        <w:bidi w:val="0"/>
        <w:adjustRightInd/>
        <w:snapToGrid/>
        <w:spacing w:line="240" w:lineRule="auto"/>
        <w:ind w:right="26"/>
        <w:textAlignment w:val="auto"/>
        <w:rPr>
          <w:rFonts w:hint="eastAsia" w:ascii="宋体" w:hAnsi="宋体" w:eastAsia="宋体" w:cs="宋体"/>
          <w:sz w:val="24"/>
          <w:szCs w:val="24"/>
        </w:rPr>
      </w:pPr>
      <w:r>
        <w:rPr>
          <w:rFonts w:hint="eastAsia" w:ascii="宋体" w:hAnsi="宋体" w:cs="宋体"/>
          <w:sz w:val="24"/>
          <w:szCs w:val="24"/>
          <w:lang w:val="en-US" w:eastAsia="zh-CN"/>
        </w:rPr>
        <w:t>乙方施工工艺不满足国家要求的，2000元/处予以处罚。</w:t>
      </w:r>
    </w:p>
    <w:p w14:paraId="7961A52C">
      <w:pPr>
        <w:pageBreakBefore w:val="0"/>
        <w:widowControl w:val="0"/>
        <w:numPr>
          <w:ilvl w:val="0"/>
          <w:numId w:val="10"/>
        </w:numPr>
        <w:kinsoku/>
        <w:wordWrap/>
        <w:overflowPunct/>
        <w:topLinePunct w:val="0"/>
        <w:autoSpaceDE/>
        <w:autoSpaceDN/>
        <w:bidi w:val="0"/>
        <w:adjustRightInd/>
        <w:snapToGrid/>
        <w:spacing w:line="240" w:lineRule="auto"/>
        <w:ind w:right="26"/>
        <w:textAlignment w:val="auto"/>
        <w:rPr>
          <w:rFonts w:hint="eastAsia" w:ascii="宋体" w:hAnsi="宋体" w:eastAsia="宋体" w:cs="宋体"/>
          <w:sz w:val="24"/>
          <w:szCs w:val="24"/>
        </w:rPr>
      </w:pPr>
      <w:r>
        <w:rPr>
          <w:rFonts w:hint="eastAsia" w:ascii="宋体" w:hAnsi="宋体" w:cs="宋体"/>
          <w:sz w:val="24"/>
          <w:szCs w:val="24"/>
          <w:lang w:val="en-US" w:eastAsia="zh-CN"/>
        </w:rPr>
        <w:t>其他方面，有违 、清单、国家法律等，拒不整改的，2000元/处罚。</w:t>
      </w:r>
    </w:p>
    <w:p w14:paraId="5D803880">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10" w:name="_Toc462834724"/>
      <w:r>
        <w:rPr>
          <w:rFonts w:hint="eastAsia" w:ascii="宋体" w:hAnsi="宋体" w:eastAsia="宋体" w:cs="宋体"/>
          <w:sz w:val="24"/>
          <w:szCs w:val="24"/>
        </w:rPr>
        <w:t>第十</w:t>
      </w:r>
      <w:r>
        <w:rPr>
          <w:rFonts w:hint="eastAsia" w:ascii="宋体" w:hAnsi="宋体" w:cs="宋体"/>
          <w:sz w:val="24"/>
          <w:szCs w:val="24"/>
          <w:lang w:val="en-US" w:eastAsia="zh-CN"/>
        </w:rPr>
        <w:t>一</w:t>
      </w:r>
      <w:r>
        <w:rPr>
          <w:rFonts w:hint="eastAsia" w:ascii="宋体" w:hAnsi="宋体" w:eastAsia="宋体" w:cs="宋体"/>
          <w:sz w:val="24"/>
          <w:szCs w:val="24"/>
        </w:rPr>
        <w:t>条、工程质量保修</w:t>
      </w:r>
      <w:bookmarkEnd w:id="10"/>
    </w:p>
    <w:p w14:paraId="74F9A73C">
      <w:pPr>
        <w:pStyle w:val="3"/>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val="0"/>
          <w:sz w:val="24"/>
          <w:szCs w:val="24"/>
          <w:lang w:val="en-US" w:eastAsia="zh-CN"/>
        </w:rPr>
      </w:pPr>
      <w:r>
        <w:rPr>
          <w:rFonts w:hint="eastAsia" w:ascii="宋体" w:hAnsi="宋体" w:eastAsia="宋体" w:cs="宋体"/>
          <w:bCs w:val="0"/>
          <w:sz w:val="24"/>
          <w:szCs w:val="24"/>
        </w:rPr>
        <w:t>1.乙方对自身供应的材料及施工质量具有质量保证及保修的义务，本</w:t>
      </w:r>
      <w:r>
        <w:rPr>
          <w:rFonts w:hint="eastAsia" w:hAnsi="宋体" w:cs="宋体"/>
          <w:bCs w:val="0"/>
          <w:sz w:val="24"/>
          <w:szCs w:val="24"/>
          <w:lang w:val="en-US" w:eastAsia="zh-CN"/>
        </w:rPr>
        <w:t>装修改造</w:t>
      </w:r>
      <w:r>
        <w:rPr>
          <w:rFonts w:hint="eastAsia" w:ascii="宋体" w:hAnsi="宋体" w:eastAsia="宋体" w:cs="宋体"/>
          <w:bCs w:val="0"/>
          <w:sz w:val="24"/>
          <w:szCs w:val="24"/>
        </w:rPr>
        <w:t>工程</w:t>
      </w:r>
      <w:r>
        <w:rPr>
          <w:rFonts w:hint="eastAsia" w:hAnsi="宋体" w:cs="宋体"/>
          <w:bCs w:val="0"/>
          <w:sz w:val="24"/>
          <w:szCs w:val="24"/>
          <w:lang w:val="en-US" w:eastAsia="zh-CN"/>
        </w:rPr>
        <w:t>整体</w:t>
      </w:r>
      <w:r>
        <w:rPr>
          <w:rFonts w:hint="eastAsia" w:ascii="宋体" w:hAnsi="宋体" w:eastAsia="宋体" w:cs="宋体"/>
          <w:b/>
          <w:bCs w:val="0"/>
          <w:sz w:val="24"/>
          <w:szCs w:val="24"/>
        </w:rPr>
        <w:t>质保期为</w:t>
      </w:r>
      <w:r>
        <w:rPr>
          <w:rFonts w:hint="eastAsia" w:hAnsi="宋体" w:cs="宋体"/>
          <w:b/>
          <w:bCs w:val="0"/>
          <w:sz w:val="24"/>
          <w:szCs w:val="24"/>
          <w:lang w:val="en-US" w:eastAsia="zh-CN"/>
        </w:rPr>
        <w:t>两</w:t>
      </w:r>
      <w:r>
        <w:rPr>
          <w:rFonts w:hint="eastAsia" w:ascii="宋体" w:hAnsi="宋体" w:eastAsia="宋体" w:cs="宋体"/>
          <w:b/>
          <w:bCs w:val="0"/>
          <w:sz w:val="24"/>
          <w:szCs w:val="24"/>
        </w:rPr>
        <w:t>年</w:t>
      </w:r>
      <w:r>
        <w:rPr>
          <w:rFonts w:hint="eastAsia" w:ascii="宋体" w:hAnsi="宋体" w:eastAsia="宋体" w:cs="宋体"/>
          <w:bCs w:val="0"/>
          <w:sz w:val="24"/>
          <w:szCs w:val="24"/>
        </w:rPr>
        <w:t>。质保期从竣工验收</w:t>
      </w:r>
      <w:r>
        <w:rPr>
          <w:rFonts w:hint="eastAsia" w:hAnsi="宋体" w:cs="宋体"/>
          <w:bCs w:val="0"/>
          <w:sz w:val="24"/>
          <w:szCs w:val="24"/>
          <w:lang w:eastAsia="zh-CN"/>
        </w:rPr>
        <w:t>合格，经甲方书面确认</w:t>
      </w:r>
      <w:r>
        <w:rPr>
          <w:rFonts w:hint="eastAsia" w:ascii="宋体" w:hAnsi="宋体" w:eastAsia="宋体" w:cs="宋体"/>
          <w:bCs w:val="0"/>
          <w:sz w:val="24"/>
          <w:szCs w:val="24"/>
        </w:rPr>
        <w:t>之日起计算。质保期间如出现严重的质量问题，由乙方负责维修并承担相应损失；若保修期间出现质量问题，乙方未能在保修期满之前解决，则即使质保期满也不能免除乙方的保修责任。</w:t>
      </w:r>
    </w:p>
    <w:p w14:paraId="34250AB5">
      <w:pPr>
        <w:pStyle w:val="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 xml:space="preserve"> 乙方应保证保修的及时性，在收到甲方或甲方委托人（物业管理公司）的通知后，须派员在24小时内赶到现场，并在甲方或甲方委托人要求的时限内完成</w:t>
      </w:r>
      <w:r>
        <w:rPr>
          <w:rFonts w:hint="eastAsia" w:hAnsi="宋体" w:cs="宋体"/>
          <w:sz w:val="24"/>
          <w:szCs w:val="24"/>
          <w:lang w:eastAsia="zh-CN"/>
        </w:rPr>
        <w:t>，</w:t>
      </w:r>
      <w:r>
        <w:rPr>
          <w:rFonts w:hint="eastAsia" w:ascii="宋体" w:hAnsi="宋体" w:cs="宋体"/>
          <w:color w:val="000000"/>
          <w:sz w:val="24"/>
          <w:szCs w:val="24"/>
          <w:lang w:val="en-US" w:eastAsia="zh-CN"/>
        </w:rPr>
        <w:t>否则</w:t>
      </w:r>
      <w:r>
        <w:rPr>
          <w:rFonts w:hint="eastAsia" w:ascii="宋体" w:hAnsi="宋体" w:cs="宋体"/>
          <w:color w:val="000000"/>
          <w:sz w:val="24"/>
          <w:szCs w:val="24"/>
          <w:lang w:eastAsia="zh-CN"/>
        </w:rPr>
        <w:t>乙方应按</w:t>
      </w:r>
      <w:r>
        <w:rPr>
          <w:rFonts w:hint="eastAsia" w:ascii="宋体" w:hAnsi="宋体" w:cs="宋体"/>
          <w:sz w:val="24"/>
          <w:szCs w:val="24"/>
          <w:lang w:val="en-US" w:eastAsia="zh-CN"/>
        </w:rPr>
        <w:t>本合同第十一条1款的约定承担违约责任。</w:t>
      </w:r>
      <w:r>
        <w:rPr>
          <w:rFonts w:hint="eastAsia" w:ascii="宋体" w:hAnsi="宋体" w:eastAsia="宋体" w:cs="宋体"/>
          <w:sz w:val="24"/>
          <w:szCs w:val="24"/>
        </w:rPr>
        <w:t>由于质量问题所涉及的保修项目，同一部位修复后，3个月内再出现质量问题的，即使3个月已超出了本合同约定的保修期限，乙方仍履行保修义务。</w:t>
      </w:r>
    </w:p>
    <w:p w14:paraId="483A18FB">
      <w:pPr>
        <w:pStyle w:val="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 当乙方未按规定时间到场或维修后未达到质量要求的情况下，甲方有权委派他方处理，因此发生的费用由乙方承担</w:t>
      </w:r>
      <w:r>
        <w:rPr>
          <w:rFonts w:hint="eastAsia" w:hAnsi="宋体" w:cs="宋体"/>
          <w:sz w:val="24"/>
          <w:szCs w:val="24"/>
          <w:lang w:eastAsia="zh-CN"/>
        </w:rPr>
        <w:t>，</w:t>
      </w:r>
      <w:r>
        <w:rPr>
          <w:rFonts w:hint="eastAsia" w:hAnsi="宋体" w:cs="宋体"/>
          <w:sz w:val="24"/>
          <w:szCs w:val="24"/>
          <w:lang w:val="en-US" w:eastAsia="zh-CN"/>
        </w:rPr>
        <w:t>费用从质保金内扣除。</w:t>
      </w:r>
    </w:p>
    <w:p w14:paraId="48510662">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11" w:name="_Toc462834725"/>
      <w:r>
        <w:rPr>
          <w:rFonts w:hint="eastAsia" w:ascii="宋体" w:hAnsi="宋体" w:eastAsia="宋体" w:cs="宋体"/>
          <w:sz w:val="24"/>
          <w:szCs w:val="24"/>
        </w:rPr>
        <w:t>第十</w:t>
      </w:r>
      <w:r>
        <w:rPr>
          <w:rFonts w:hint="eastAsia" w:ascii="宋体" w:hAnsi="宋体" w:cs="宋体"/>
          <w:sz w:val="24"/>
          <w:szCs w:val="24"/>
          <w:lang w:val="en-US" w:eastAsia="zh-CN"/>
        </w:rPr>
        <w:t>二</w:t>
      </w:r>
      <w:r>
        <w:rPr>
          <w:rFonts w:hint="eastAsia" w:ascii="宋体" w:hAnsi="宋体" w:eastAsia="宋体" w:cs="宋体"/>
          <w:sz w:val="24"/>
          <w:szCs w:val="24"/>
        </w:rPr>
        <w:t>条、协议成立和生效</w:t>
      </w:r>
      <w:bookmarkEnd w:id="11"/>
    </w:p>
    <w:p w14:paraId="6FA59C16">
      <w:pPr>
        <w:pageBreakBefore w:val="0"/>
        <w:widowControl w:val="0"/>
        <w:numPr>
          <w:ilvl w:val="0"/>
          <w:numId w:val="11"/>
        </w:numPr>
        <w:kinsoku/>
        <w:wordWrap/>
        <w:overflowPunct/>
        <w:topLinePunct w:val="0"/>
        <w:autoSpaceDE/>
        <w:autoSpaceDN/>
        <w:bidi w:val="0"/>
        <w:adjustRightInd/>
        <w:snapToGrid/>
        <w:spacing w:line="240" w:lineRule="auto"/>
        <w:ind w:right="560"/>
        <w:textAlignment w:val="auto"/>
        <w:rPr>
          <w:rFonts w:hint="eastAsia" w:ascii="宋体" w:hAnsi="宋体" w:eastAsia="宋体" w:cs="宋体"/>
          <w:sz w:val="24"/>
          <w:szCs w:val="24"/>
        </w:rPr>
      </w:pPr>
      <w:r>
        <w:rPr>
          <w:rFonts w:hint="eastAsia" w:ascii="宋体" w:hAnsi="宋体" w:eastAsia="宋体" w:cs="宋体"/>
          <w:color w:val="000000"/>
          <w:sz w:val="24"/>
          <w:szCs w:val="24"/>
        </w:rPr>
        <w:t>协议的权利义务终止后，乙方应当履行通知、协助、保密等义务。</w:t>
      </w:r>
    </w:p>
    <w:p w14:paraId="237BB37F">
      <w:pPr>
        <w:pageBreakBefore w:val="0"/>
        <w:widowControl w:val="0"/>
        <w:numPr>
          <w:ilvl w:val="0"/>
          <w:numId w:val="11"/>
        </w:numPr>
        <w:kinsoku/>
        <w:wordWrap/>
        <w:overflowPunct/>
        <w:topLinePunct w:val="0"/>
        <w:autoSpaceDE/>
        <w:autoSpaceDN/>
        <w:bidi w:val="0"/>
        <w:adjustRightInd/>
        <w:snapToGrid/>
        <w:spacing w:line="240" w:lineRule="auto"/>
        <w:ind w:right="560"/>
        <w:textAlignment w:val="auto"/>
        <w:rPr>
          <w:rFonts w:hint="eastAsia" w:ascii="宋体" w:hAnsi="宋体" w:eastAsia="宋体" w:cs="宋体"/>
          <w:sz w:val="24"/>
          <w:szCs w:val="24"/>
        </w:rPr>
      </w:pPr>
      <w:r>
        <w:rPr>
          <w:rFonts w:hint="eastAsia" w:ascii="宋体" w:hAnsi="宋体" w:eastAsia="宋体" w:cs="宋体"/>
          <w:color w:val="000000"/>
          <w:sz w:val="24"/>
          <w:szCs w:val="24"/>
        </w:rPr>
        <w:t>未尽事宜甲乙双方协商解决。</w:t>
      </w:r>
    </w:p>
    <w:p w14:paraId="71FA2EA8">
      <w:pPr>
        <w:pageBreakBefore w:val="0"/>
        <w:widowControl w:val="0"/>
        <w:numPr>
          <w:ilvl w:val="0"/>
          <w:numId w:val="11"/>
        </w:numPr>
        <w:kinsoku/>
        <w:wordWrap/>
        <w:overflowPunct/>
        <w:topLinePunct w:val="0"/>
        <w:autoSpaceDE/>
        <w:autoSpaceDN/>
        <w:bidi w:val="0"/>
        <w:adjustRightInd/>
        <w:snapToGrid/>
        <w:spacing w:line="240" w:lineRule="auto"/>
        <w:ind w:right="560"/>
        <w:textAlignment w:val="auto"/>
        <w:rPr>
          <w:rFonts w:hint="eastAsia" w:ascii="宋体" w:hAnsi="宋体" w:eastAsia="宋体" w:cs="宋体"/>
          <w:sz w:val="24"/>
          <w:szCs w:val="24"/>
        </w:rPr>
      </w:pPr>
      <w:r>
        <w:rPr>
          <w:rFonts w:hint="eastAsia" w:ascii="宋体" w:hAnsi="宋体" w:cs="宋体"/>
          <w:color w:val="000000"/>
          <w:sz w:val="24"/>
          <w:szCs w:val="24"/>
          <w:lang w:val="en-US" w:eastAsia="zh-CN"/>
        </w:rPr>
        <w:t>本项目为交钥匙工程，无任何签证、变更等额外费用产生。协议签订前，乙方应再次核对 、清单、招标文件、投标文件，踏勘实际现场，确保熟悉并掌握全部内容，确保掌握业主方的全部要求。不因任何问题，任何原因，产生任何费用。</w:t>
      </w:r>
    </w:p>
    <w:p w14:paraId="48D1F92D">
      <w:pPr>
        <w:pageBreakBefore w:val="0"/>
        <w:widowControl w:val="0"/>
        <w:numPr>
          <w:ilvl w:val="0"/>
          <w:numId w:val="11"/>
        </w:numPr>
        <w:kinsoku/>
        <w:wordWrap/>
        <w:overflowPunct/>
        <w:topLinePunct w:val="0"/>
        <w:autoSpaceDE/>
        <w:autoSpaceDN/>
        <w:bidi w:val="0"/>
        <w:adjustRightInd/>
        <w:snapToGrid/>
        <w:spacing w:line="240" w:lineRule="auto"/>
        <w:ind w:right="560"/>
        <w:textAlignment w:val="auto"/>
        <w:rPr>
          <w:rFonts w:hint="eastAsia" w:ascii="宋体" w:hAnsi="宋体" w:eastAsia="宋体" w:cs="宋体"/>
          <w:sz w:val="24"/>
          <w:szCs w:val="24"/>
        </w:rPr>
      </w:pPr>
      <w:r>
        <w:rPr>
          <w:rFonts w:hint="eastAsia" w:ascii="宋体" w:hAnsi="宋体" w:cs="宋体"/>
          <w:color w:val="000000"/>
          <w:sz w:val="24"/>
          <w:szCs w:val="24"/>
          <w:lang w:val="en-US" w:eastAsia="zh-CN"/>
        </w:rPr>
        <w:t>协议签订前，乙方应签署项目承诺函，内容包括但不限于： 、清单、招标文件、投标文件，招标答疑、踏勘实际现场，确保熟悉并掌握全部内容，确保掌握业主方的全部要求。不因任何问题，任何原因，产生任何费用。</w:t>
      </w:r>
    </w:p>
    <w:p w14:paraId="542C34C3">
      <w:pPr>
        <w:pageBreakBefore w:val="0"/>
        <w:widowControl w:val="0"/>
        <w:numPr>
          <w:ilvl w:val="0"/>
          <w:numId w:val="11"/>
        </w:numPr>
        <w:kinsoku/>
        <w:wordWrap/>
        <w:overflowPunct/>
        <w:topLinePunct w:val="0"/>
        <w:autoSpaceDE/>
        <w:autoSpaceDN/>
        <w:bidi w:val="0"/>
        <w:adjustRightInd/>
        <w:snapToGrid/>
        <w:spacing w:line="240" w:lineRule="auto"/>
        <w:ind w:right="560"/>
        <w:textAlignment w:val="auto"/>
        <w:rPr>
          <w:rFonts w:hint="eastAsia" w:ascii="宋体" w:hAnsi="宋体" w:eastAsia="宋体" w:cs="宋体"/>
          <w:sz w:val="24"/>
          <w:szCs w:val="24"/>
        </w:rPr>
      </w:pPr>
      <w:r>
        <w:rPr>
          <w:rFonts w:hint="eastAsia" w:ascii="宋体" w:hAnsi="宋体" w:cs="宋体"/>
          <w:sz w:val="24"/>
          <w:szCs w:val="24"/>
          <w:lang w:val="en-US" w:eastAsia="zh-CN"/>
        </w:rPr>
        <w:t>乙方出具正式项目承诺函，经公司法人、本项目项目经理签字、盖章认可后，甲乙双方签订协议。协议自签订之日起有效，并为该项目启动正式时间。</w:t>
      </w:r>
    </w:p>
    <w:p w14:paraId="3BFF39CE">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12" w:name="_Toc462834726"/>
      <w:r>
        <w:rPr>
          <w:rFonts w:hint="eastAsia" w:ascii="宋体" w:hAnsi="宋体" w:eastAsia="宋体" w:cs="宋体"/>
          <w:sz w:val="24"/>
          <w:szCs w:val="24"/>
        </w:rPr>
        <w:t>第十</w:t>
      </w:r>
      <w:r>
        <w:rPr>
          <w:rFonts w:hint="eastAsia" w:ascii="宋体" w:hAnsi="宋体" w:cs="宋体"/>
          <w:sz w:val="24"/>
          <w:szCs w:val="24"/>
          <w:lang w:val="en-US" w:eastAsia="zh-CN"/>
        </w:rPr>
        <w:t>三</w:t>
      </w:r>
      <w:r>
        <w:rPr>
          <w:rFonts w:hint="eastAsia" w:ascii="宋体" w:hAnsi="宋体" w:eastAsia="宋体" w:cs="宋体"/>
          <w:sz w:val="24"/>
          <w:szCs w:val="24"/>
        </w:rPr>
        <w:t>条、争议的处理</w:t>
      </w:r>
      <w:bookmarkEnd w:id="12"/>
    </w:p>
    <w:p w14:paraId="6EF29773">
      <w:pPr>
        <w:pageBreakBefore w:val="0"/>
        <w:widowControl w:val="0"/>
        <w:kinsoku/>
        <w:wordWrap/>
        <w:overflowPunct/>
        <w:topLinePunct w:val="0"/>
        <w:autoSpaceDE/>
        <w:autoSpaceDN/>
        <w:bidi w:val="0"/>
        <w:adjustRightInd/>
        <w:snapToGrid/>
        <w:spacing w:line="240" w:lineRule="auto"/>
        <w:ind w:left="210" w:leftChars="100" w:right="561" w:rightChars="267" w:firstLine="360" w:firstLineChars="15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本合同履行期间，双方如发生争议，在不影响工程进度的前提下双方应协商解决或者请第三方调解。当事人不愿协商、调解或者协商、调解不成的，</w:t>
      </w:r>
      <w:bookmarkStart w:id="13" w:name="_Toc462834727"/>
      <w:r>
        <w:rPr>
          <w:rFonts w:hint="eastAsia" w:ascii="宋体" w:hAnsi="宋体" w:cs="宋体"/>
          <w:color w:val="000000"/>
          <w:sz w:val="24"/>
          <w:szCs w:val="24"/>
          <w:lang w:eastAsia="zh-CN"/>
        </w:rPr>
        <w:t>任何一方均有权向工程所在地的当地法院提起诉讼。</w:t>
      </w:r>
    </w:p>
    <w:p w14:paraId="2FF357A0">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cs="宋体"/>
          <w:sz w:val="24"/>
          <w:szCs w:val="24"/>
          <w:lang w:val="en-US" w:eastAsia="zh-CN"/>
        </w:rPr>
        <w:t>四</w:t>
      </w:r>
      <w:r>
        <w:rPr>
          <w:rFonts w:hint="eastAsia" w:ascii="宋体" w:hAnsi="宋体" w:eastAsia="宋体" w:cs="宋体"/>
          <w:sz w:val="24"/>
          <w:szCs w:val="24"/>
        </w:rPr>
        <w:t>条、协议份数</w:t>
      </w:r>
      <w:bookmarkEnd w:id="13"/>
    </w:p>
    <w:p w14:paraId="219F9CD7">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本合同一式</w:t>
      </w:r>
      <w:r>
        <w:rPr>
          <w:rFonts w:hint="eastAsia" w:ascii="宋体" w:hAnsi="宋体" w:cs="宋体"/>
          <w:color w:val="000000"/>
          <w:sz w:val="24"/>
          <w:szCs w:val="24"/>
          <w:lang w:val="en-US" w:eastAsia="zh-CN"/>
        </w:rPr>
        <w:t>肆</w:t>
      </w:r>
      <w:r>
        <w:rPr>
          <w:rFonts w:hint="eastAsia" w:ascii="宋体" w:hAnsi="宋体" w:eastAsia="宋体" w:cs="宋体"/>
          <w:color w:val="000000"/>
          <w:sz w:val="24"/>
          <w:szCs w:val="24"/>
        </w:rPr>
        <w:t>份，甲方</w:t>
      </w:r>
      <w:r>
        <w:rPr>
          <w:rFonts w:hint="eastAsia" w:ascii="宋体" w:hAnsi="宋体" w:cs="宋体"/>
          <w:color w:val="000000"/>
          <w:sz w:val="24"/>
          <w:szCs w:val="24"/>
          <w:lang w:val="en-US" w:eastAsia="zh-CN"/>
        </w:rPr>
        <w:t>贰</w:t>
      </w:r>
      <w:r>
        <w:rPr>
          <w:rFonts w:hint="eastAsia" w:ascii="宋体" w:hAnsi="宋体" w:eastAsia="宋体" w:cs="宋体"/>
          <w:color w:val="000000"/>
          <w:sz w:val="24"/>
          <w:szCs w:val="24"/>
        </w:rPr>
        <w:t>份，乙方</w:t>
      </w:r>
      <w:r>
        <w:rPr>
          <w:rFonts w:hint="eastAsia" w:ascii="宋体" w:hAnsi="宋体" w:cs="宋体"/>
          <w:color w:val="000000"/>
          <w:sz w:val="24"/>
          <w:szCs w:val="24"/>
          <w:lang w:val="en-US" w:eastAsia="zh-CN"/>
        </w:rPr>
        <w:t>贰</w:t>
      </w:r>
      <w:r>
        <w:rPr>
          <w:rFonts w:hint="eastAsia" w:ascii="宋体" w:hAnsi="宋体" w:eastAsia="宋体" w:cs="宋体"/>
          <w:color w:val="000000"/>
          <w:sz w:val="24"/>
          <w:szCs w:val="24"/>
        </w:rPr>
        <w:t>份</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具有同等效力</w:t>
      </w:r>
      <w:r>
        <w:rPr>
          <w:rFonts w:hint="eastAsia" w:ascii="宋体" w:hAnsi="宋体" w:eastAsia="宋体" w:cs="宋体"/>
          <w:color w:val="000000"/>
          <w:sz w:val="24"/>
          <w:szCs w:val="24"/>
        </w:rPr>
        <w:t>。</w:t>
      </w:r>
    </w:p>
    <w:p w14:paraId="734CEAC6">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p>
    <w:p w14:paraId="330DEF10">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第十五条  清单内容详见附件。</w:t>
      </w:r>
    </w:p>
    <w:tbl>
      <w:tblPr>
        <w:tblStyle w:val="9"/>
        <w:tblW w:w="9800" w:type="dxa"/>
        <w:tblInd w:w="0" w:type="dxa"/>
        <w:tblLayout w:type="fixed"/>
        <w:tblCellMar>
          <w:top w:w="0" w:type="dxa"/>
          <w:left w:w="108" w:type="dxa"/>
          <w:bottom w:w="0" w:type="dxa"/>
          <w:right w:w="108" w:type="dxa"/>
        </w:tblCellMar>
      </w:tblPr>
      <w:tblGrid>
        <w:gridCol w:w="4809"/>
        <w:gridCol w:w="4991"/>
      </w:tblGrid>
      <w:tr w14:paraId="54C570CE">
        <w:tblPrEx>
          <w:tblCellMar>
            <w:top w:w="0" w:type="dxa"/>
            <w:left w:w="108" w:type="dxa"/>
            <w:bottom w:w="0" w:type="dxa"/>
            <w:right w:w="108" w:type="dxa"/>
          </w:tblCellMar>
        </w:tblPrEx>
        <w:trPr>
          <w:trHeight w:val="797" w:hRule="atLeast"/>
        </w:trPr>
        <w:tc>
          <w:tcPr>
            <w:tcW w:w="4809" w:type="dxa"/>
            <w:vAlign w:val="center"/>
          </w:tcPr>
          <w:p w14:paraId="295E43D0">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甲方(公章)：</w:t>
            </w:r>
            <w:r>
              <w:rPr>
                <w:rFonts w:hint="eastAsia" w:ascii="宋体" w:hAnsi="宋体" w:cs="宋体"/>
                <w:sz w:val="24"/>
                <w:szCs w:val="24"/>
                <w:u w:val="none"/>
                <w:lang w:eastAsia="zh-CN"/>
              </w:rPr>
              <w:t>湖北省卫生健康委员会</w:t>
            </w:r>
          </w:p>
        </w:tc>
        <w:tc>
          <w:tcPr>
            <w:tcW w:w="4991" w:type="dxa"/>
            <w:vAlign w:val="center"/>
          </w:tcPr>
          <w:p w14:paraId="4F8BF2DD">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p w14:paraId="466FB7F5">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乙方(公章)：</w:t>
            </w:r>
          </w:p>
        </w:tc>
      </w:tr>
      <w:tr w14:paraId="4FF4A40D">
        <w:tblPrEx>
          <w:tblCellMar>
            <w:top w:w="0" w:type="dxa"/>
            <w:left w:w="108" w:type="dxa"/>
            <w:bottom w:w="0" w:type="dxa"/>
            <w:right w:w="108" w:type="dxa"/>
          </w:tblCellMar>
        </w:tblPrEx>
        <w:trPr>
          <w:trHeight w:val="466" w:hRule="atLeast"/>
        </w:trPr>
        <w:tc>
          <w:tcPr>
            <w:tcW w:w="4809" w:type="dxa"/>
          </w:tcPr>
          <w:p w14:paraId="055E59A4">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4991" w:type="dxa"/>
          </w:tcPr>
          <w:p w14:paraId="7C35526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法定代表人：</w:t>
            </w:r>
          </w:p>
        </w:tc>
      </w:tr>
      <w:tr w14:paraId="03E53DAB">
        <w:tblPrEx>
          <w:tblCellMar>
            <w:top w:w="0" w:type="dxa"/>
            <w:left w:w="108" w:type="dxa"/>
            <w:bottom w:w="0" w:type="dxa"/>
            <w:right w:w="108" w:type="dxa"/>
          </w:tblCellMar>
        </w:tblPrEx>
        <w:trPr>
          <w:trHeight w:val="421" w:hRule="atLeast"/>
        </w:trPr>
        <w:tc>
          <w:tcPr>
            <w:tcW w:w="4809" w:type="dxa"/>
          </w:tcPr>
          <w:p w14:paraId="524DC897">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p>
        </w:tc>
        <w:tc>
          <w:tcPr>
            <w:tcW w:w="4991" w:type="dxa"/>
          </w:tcPr>
          <w:p w14:paraId="248847AD">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委托代理人：</w:t>
            </w:r>
          </w:p>
        </w:tc>
      </w:tr>
      <w:tr w14:paraId="4D85E024">
        <w:tblPrEx>
          <w:tblCellMar>
            <w:top w:w="0" w:type="dxa"/>
            <w:left w:w="108" w:type="dxa"/>
            <w:bottom w:w="0" w:type="dxa"/>
            <w:right w:w="108" w:type="dxa"/>
          </w:tblCellMar>
        </w:tblPrEx>
        <w:trPr>
          <w:trHeight w:val="1022" w:hRule="atLeast"/>
        </w:trPr>
        <w:tc>
          <w:tcPr>
            <w:tcW w:w="4809" w:type="dxa"/>
          </w:tcPr>
          <w:p w14:paraId="1EC236C6">
            <w:pPr>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信用代码：</w:t>
            </w:r>
          </w:p>
          <w:p w14:paraId="01D18337">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地址： </w:t>
            </w:r>
          </w:p>
          <w:p w14:paraId="67E2F3F1">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邮编：</w:t>
            </w:r>
          </w:p>
        </w:tc>
        <w:tc>
          <w:tcPr>
            <w:tcW w:w="4991" w:type="dxa"/>
          </w:tcPr>
          <w:p w14:paraId="1F205357">
            <w:pPr>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信用代码：</w:t>
            </w:r>
          </w:p>
          <w:p w14:paraId="060B3623">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地址：</w:t>
            </w:r>
          </w:p>
          <w:p w14:paraId="7D59B856">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邮编：</w:t>
            </w:r>
          </w:p>
        </w:tc>
      </w:tr>
      <w:tr w14:paraId="0A23688C">
        <w:tblPrEx>
          <w:tblCellMar>
            <w:top w:w="0" w:type="dxa"/>
            <w:left w:w="108" w:type="dxa"/>
            <w:bottom w:w="0" w:type="dxa"/>
            <w:right w:w="108" w:type="dxa"/>
          </w:tblCellMar>
        </w:tblPrEx>
        <w:trPr>
          <w:trHeight w:val="1292" w:hRule="atLeast"/>
        </w:trPr>
        <w:tc>
          <w:tcPr>
            <w:tcW w:w="4809" w:type="dxa"/>
          </w:tcPr>
          <w:p w14:paraId="5814DBA4">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电话：</w:t>
            </w:r>
          </w:p>
          <w:p w14:paraId="1131D5F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p w14:paraId="271792E6">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账号：</w:t>
            </w:r>
          </w:p>
        </w:tc>
        <w:tc>
          <w:tcPr>
            <w:tcW w:w="4991" w:type="dxa"/>
          </w:tcPr>
          <w:p w14:paraId="31C7DE9B">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电话：</w:t>
            </w:r>
            <w:bookmarkStart w:id="14" w:name="_GoBack"/>
            <w:bookmarkEnd w:id="14"/>
          </w:p>
          <w:p w14:paraId="10A5D99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开户银行：</w:t>
            </w:r>
          </w:p>
          <w:p w14:paraId="0FE8593B">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账号： </w:t>
            </w:r>
          </w:p>
        </w:tc>
      </w:tr>
      <w:tr w14:paraId="02DE1802">
        <w:tblPrEx>
          <w:tblCellMar>
            <w:top w:w="0" w:type="dxa"/>
            <w:left w:w="108" w:type="dxa"/>
            <w:bottom w:w="0" w:type="dxa"/>
            <w:right w:w="108" w:type="dxa"/>
          </w:tblCellMar>
        </w:tblPrEx>
        <w:trPr>
          <w:trHeight w:val="646" w:hRule="atLeast"/>
        </w:trPr>
        <w:tc>
          <w:tcPr>
            <w:tcW w:w="4809" w:type="dxa"/>
          </w:tcPr>
          <w:p w14:paraId="67C81F4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tc>
        <w:tc>
          <w:tcPr>
            <w:tcW w:w="4991" w:type="dxa"/>
          </w:tcPr>
          <w:p w14:paraId="734383BE">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tc>
      </w:tr>
    </w:tbl>
    <w:p w14:paraId="7DE57FD4">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FF0000"/>
          <w:sz w:val="24"/>
          <w:szCs w:val="24"/>
        </w:rPr>
      </w:pPr>
    </w:p>
    <w:p w14:paraId="5A4CBA1B">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FF0000"/>
          <w:sz w:val="24"/>
          <w:szCs w:val="24"/>
        </w:rPr>
      </w:pPr>
    </w:p>
    <w:p w14:paraId="5C2BA106">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FF0000"/>
          <w:sz w:val="24"/>
          <w:szCs w:val="24"/>
        </w:rPr>
      </w:pPr>
    </w:p>
    <w:p w14:paraId="0990832F">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FF0000"/>
          <w:sz w:val="24"/>
          <w:szCs w:val="24"/>
        </w:rPr>
      </w:pPr>
    </w:p>
    <w:p w14:paraId="6101DA48">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FF0000"/>
          <w:sz w:val="24"/>
          <w:szCs w:val="24"/>
        </w:rPr>
      </w:pPr>
    </w:p>
    <w:p w14:paraId="3846078D">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FF0000"/>
          <w:sz w:val="24"/>
          <w:szCs w:val="24"/>
        </w:rPr>
      </w:pPr>
    </w:p>
    <w:p w14:paraId="1E418F6B">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FF0000"/>
          <w:sz w:val="24"/>
          <w:szCs w:val="24"/>
        </w:rPr>
      </w:pPr>
    </w:p>
    <w:p w14:paraId="7FC44150">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FF0000"/>
          <w:sz w:val="24"/>
          <w:szCs w:val="24"/>
        </w:rPr>
      </w:pPr>
    </w:p>
    <w:p w14:paraId="7E13082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附件：司机班及活动室维修合同清单</w:t>
      </w:r>
    </w:p>
    <w:tbl>
      <w:tblPr>
        <w:tblStyle w:val="9"/>
        <w:tblW w:w="9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723"/>
        <w:gridCol w:w="1314"/>
        <w:gridCol w:w="558"/>
        <w:gridCol w:w="1336"/>
        <w:gridCol w:w="886"/>
        <w:gridCol w:w="730"/>
        <w:gridCol w:w="901"/>
        <w:gridCol w:w="901"/>
        <w:gridCol w:w="1769"/>
      </w:tblGrid>
      <w:tr w14:paraId="392A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676" w:type="dxa"/>
            <w:gridSpan w:val="10"/>
            <w:tcBorders>
              <w:top w:val="nil"/>
              <w:left w:val="nil"/>
              <w:bottom w:val="nil"/>
              <w:right w:val="nil"/>
            </w:tcBorders>
            <w:shd w:val="clear" w:color="auto" w:fill="FFFFFF"/>
            <w:vAlign w:val="center"/>
          </w:tcPr>
          <w:p w14:paraId="6721A3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p w14:paraId="0A18D8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司机班及活动室维修清单</w:t>
            </w:r>
          </w:p>
        </w:tc>
      </w:tr>
      <w:tr w14:paraId="67DB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67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842A0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维修项目</w:t>
            </w:r>
          </w:p>
        </w:tc>
      </w:tr>
      <w:tr w14:paraId="5CF6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854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456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E3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2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品牌型号</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59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13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E7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A52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A3F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材料及工艺说明</w:t>
            </w:r>
          </w:p>
        </w:tc>
      </w:tr>
      <w:tr w14:paraId="57FC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5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C07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新隔墙面腻子基层处理</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76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DE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三棵树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A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防潮</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63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FD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8F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7D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腻子粉刮腻子一遍，打磨，按白色墙面编制</w:t>
            </w:r>
            <w:r>
              <w:rPr>
                <w:rFonts w:hint="eastAsia" w:ascii="宋体" w:hAnsi="宋体" w:cs="宋体"/>
                <w:i w:val="0"/>
                <w:iCs w:val="0"/>
                <w:color w:val="000000"/>
                <w:kern w:val="0"/>
                <w:sz w:val="22"/>
                <w:szCs w:val="22"/>
                <w:u w:val="none"/>
                <w:lang w:val="en-US" w:eastAsia="zh-CN" w:bidi="ar"/>
              </w:rPr>
              <w:t>。</w:t>
            </w:r>
          </w:p>
        </w:tc>
      </w:tr>
      <w:tr w14:paraId="4614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9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42D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局部墙面乳胶漆</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27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A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三棵树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9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8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B7C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C3C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A2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乳胶漆手刷、滚涂一遍</w:t>
            </w:r>
            <w:r>
              <w:rPr>
                <w:rFonts w:hint="eastAsia" w:ascii="宋体" w:hAnsi="宋体" w:cs="宋体"/>
                <w:i w:val="0"/>
                <w:iCs w:val="0"/>
                <w:color w:val="000000"/>
                <w:kern w:val="0"/>
                <w:sz w:val="22"/>
                <w:szCs w:val="22"/>
                <w:u w:val="none"/>
                <w:lang w:val="en-US" w:eastAsia="zh-CN" w:bidi="ar"/>
              </w:rPr>
              <w:t>。</w:t>
            </w:r>
          </w:p>
        </w:tc>
      </w:tr>
      <w:tr w14:paraId="6B0A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B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CA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地面局部找平</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F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A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34D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D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5B2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232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水泥砂浆1：3，含人工，含现场基层清理</w:t>
            </w:r>
            <w:r>
              <w:rPr>
                <w:rFonts w:hint="eastAsia" w:ascii="宋体" w:hAnsi="宋体" w:cs="宋体"/>
                <w:i w:val="0"/>
                <w:iCs w:val="0"/>
                <w:color w:val="000000"/>
                <w:kern w:val="0"/>
                <w:sz w:val="22"/>
                <w:szCs w:val="22"/>
                <w:u w:val="none"/>
                <w:lang w:val="en-US" w:eastAsia="zh-CN" w:bidi="ar"/>
              </w:rPr>
              <w:t>。</w:t>
            </w:r>
          </w:p>
        </w:tc>
      </w:tr>
      <w:tr w14:paraId="3533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7F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D49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强电路改造</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84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4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武汉二厂</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02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9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F15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B2F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0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专用线槽走明线，局部加插座，人工费</w:t>
            </w:r>
            <w:r>
              <w:rPr>
                <w:rFonts w:hint="eastAsia" w:ascii="宋体" w:hAnsi="宋体" w:cs="宋体"/>
                <w:i w:val="0"/>
                <w:iCs w:val="0"/>
                <w:color w:val="000000"/>
                <w:kern w:val="0"/>
                <w:sz w:val="22"/>
                <w:szCs w:val="22"/>
                <w:u w:val="none"/>
                <w:lang w:val="en-US" w:eastAsia="zh-CN" w:bidi="ar"/>
              </w:rPr>
              <w:t>。</w:t>
            </w:r>
          </w:p>
        </w:tc>
      </w:tr>
      <w:tr w14:paraId="63CA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0D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6B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开关插座</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C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个</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4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公牛</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6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86型</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3A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E8B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BC6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CB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r>
      <w:tr w14:paraId="4FCF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7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DB0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墙面开门洞</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6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519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5F4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6DB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2"/>
                <w:szCs w:val="22"/>
                <w:u w:val="none"/>
              </w:rPr>
            </w:pPr>
            <w:r>
              <w:rPr>
                <w:rFonts w:hint="default" w:ascii="宋体" w:hAnsi="Times New Roman" w:eastAsia="宋体" w:cs="Times New Roman"/>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2D8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04A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9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机器切割，按原门洞尺寸拆除</w:t>
            </w:r>
            <w:r>
              <w:rPr>
                <w:rFonts w:hint="eastAsia" w:ascii="宋体" w:hAnsi="宋体" w:cs="宋体"/>
                <w:i w:val="0"/>
                <w:iCs w:val="0"/>
                <w:color w:val="000000"/>
                <w:kern w:val="0"/>
                <w:sz w:val="22"/>
                <w:szCs w:val="22"/>
                <w:u w:val="none"/>
                <w:lang w:val="en-US" w:eastAsia="zh-CN" w:bidi="ar"/>
              </w:rPr>
              <w:t>。</w:t>
            </w:r>
          </w:p>
        </w:tc>
      </w:tr>
      <w:tr w14:paraId="24EC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5A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B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墙面封门洞</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50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E58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7B7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026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2"/>
                <w:szCs w:val="22"/>
                <w:u w:val="none"/>
              </w:rPr>
            </w:pPr>
            <w:r>
              <w:rPr>
                <w:rFonts w:hint="default" w:ascii="宋体" w:hAnsi="Times New Roman" w:eastAsia="宋体" w:cs="Times New Roman"/>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7CC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C7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29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轻钢龙骨框架，石膏板贴面</w:t>
            </w:r>
            <w:r>
              <w:rPr>
                <w:rFonts w:hint="eastAsia" w:ascii="宋体" w:hAnsi="宋体" w:cs="宋体"/>
                <w:i w:val="0"/>
                <w:iCs w:val="0"/>
                <w:color w:val="000000"/>
                <w:kern w:val="0"/>
                <w:sz w:val="22"/>
                <w:szCs w:val="22"/>
                <w:u w:val="none"/>
                <w:lang w:val="en-US" w:eastAsia="zh-CN" w:bidi="ar"/>
              </w:rPr>
              <w:t>。</w:t>
            </w:r>
          </w:p>
        </w:tc>
      </w:tr>
      <w:tr w14:paraId="213D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22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79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拆原木门</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4B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C2F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098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49C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2"/>
                <w:szCs w:val="22"/>
                <w:u w:val="none"/>
              </w:rPr>
            </w:pPr>
            <w:r>
              <w:rPr>
                <w:rFonts w:hint="default" w:ascii="宋体" w:hAnsi="Times New Roman" w:eastAsia="宋体" w:cs="Times New Roman"/>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471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ECA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E9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原旧门保护性拆除，人工。</w:t>
            </w:r>
          </w:p>
        </w:tc>
      </w:tr>
      <w:tr w14:paraId="5469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E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56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房门安装（对开门）</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02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2A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C81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45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2"/>
                <w:szCs w:val="22"/>
                <w:u w:val="none"/>
              </w:rPr>
            </w:pPr>
            <w:r>
              <w:rPr>
                <w:rFonts w:hint="default" w:ascii="宋体" w:hAnsi="Times New Roman" w:eastAsia="宋体" w:cs="Times New Roman"/>
                <w:i w:val="0"/>
                <w:iCs w:val="0"/>
                <w:color w:val="000000"/>
                <w:kern w:val="0"/>
                <w:sz w:val="22"/>
                <w:szCs w:val="22"/>
                <w:u w:val="none"/>
                <w:lang w:val="en-US" w:eastAsia="zh-CN" w:bidi="ar"/>
              </w:rPr>
              <w:t>3</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CE0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853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E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原旧门安装，人工。</w:t>
            </w:r>
          </w:p>
        </w:tc>
      </w:tr>
      <w:tr w14:paraId="33ED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6C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31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贴门槛石</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5A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7C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413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F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C6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7F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A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水泥砂浆1：3（华新堡垒牌水泥），含人工，含主材</w:t>
            </w:r>
            <w:r>
              <w:rPr>
                <w:rFonts w:hint="eastAsia" w:ascii="宋体" w:hAnsi="宋体" w:cs="宋体"/>
                <w:i w:val="0"/>
                <w:iCs w:val="0"/>
                <w:color w:val="000000"/>
                <w:kern w:val="0"/>
                <w:sz w:val="22"/>
                <w:szCs w:val="22"/>
                <w:u w:val="none"/>
                <w:lang w:val="en-US" w:eastAsia="zh-CN" w:bidi="ar"/>
              </w:rPr>
              <w:t>。</w:t>
            </w:r>
          </w:p>
        </w:tc>
      </w:tr>
      <w:tr w14:paraId="751C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9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2D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石膏板隔墙</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0F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2FE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28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5A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73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F5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3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轻钢龙骨隔墙。</w:t>
            </w:r>
          </w:p>
        </w:tc>
      </w:tr>
      <w:tr w14:paraId="4659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3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C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拆墙及墙渣清除（24㎝）</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0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58B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5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B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50E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27C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8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24墙拆除，含清渣。</w:t>
            </w:r>
          </w:p>
        </w:tc>
      </w:tr>
      <w:tr w14:paraId="346C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9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73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硅钙板吊顶恢复</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4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18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A70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35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77F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47F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67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专用龙骨骨架，600*600成品硅钙板，纯安装人工</w:t>
            </w:r>
            <w:r>
              <w:rPr>
                <w:rFonts w:hint="eastAsia" w:ascii="宋体" w:hAnsi="宋体" w:cs="宋体"/>
                <w:i w:val="0"/>
                <w:iCs w:val="0"/>
                <w:color w:val="000000"/>
                <w:kern w:val="0"/>
                <w:sz w:val="22"/>
                <w:szCs w:val="22"/>
                <w:u w:val="none"/>
                <w:lang w:val="en-US" w:eastAsia="zh-CN" w:bidi="ar"/>
              </w:rPr>
              <w:t>。</w:t>
            </w:r>
          </w:p>
        </w:tc>
      </w:tr>
      <w:tr w14:paraId="0C9F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7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BFE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垃圾清理外运费</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E53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项</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A06D2">
            <w:pPr>
              <w:snapToGrid w:val="0"/>
              <w:ind w:left="0" w:leftChars="0" w:right="0" w:rightChars="0" w:firstLine="0" w:firstLineChars="0"/>
              <w:jc w:val="center"/>
              <w:rPr>
                <w:rFonts w:hint="eastAsia" w:ascii="宋体" w:hAnsi="宋体" w:eastAsia="宋体" w:cs="宋体"/>
                <w:b/>
                <w:bCs/>
                <w:i w:val="0"/>
                <w:iCs w:val="0"/>
                <w:color w:val="000000"/>
                <w:sz w:val="22"/>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BE12E">
            <w:pPr>
              <w:snapToGrid w:val="0"/>
              <w:ind w:left="0" w:leftChars="0" w:right="0" w:rightChars="0" w:firstLine="0" w:firstLineChars="0"/>
              <w:jc w:val="center"/>
              <w:rPr>
                <w:rFonts w:hint="eastAsia" w:ascii="宋体" w:hAnsi="宋体" w:eastAsia="宋体" w:cs="宋体"/>
                <w:b/>
                <w:bCs/>
                <w:i w:val="0"/>
                <w:iCs w:val="0"/>
                <w:color w:val="000000"/>
                <w:sz w:val="22"/>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62C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0EF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321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80E1C">
            <w:pPr>
              <w:snapToGrid w:val="0"/>
              <w:ind w:left="0" w:leftChars="0" w:right="0" w:rightChars="0" w:firstLine="0" w:firstLineChars="0"/>
              <w:jc w:val="center"/>
              <w:rPr>
                <w:rFonts w:hint="eastAsia" w:ascii="宋体" w:hAnsi="宋体" w:eastAsia="宋体" w:cs="宋体"/>
                <w:b/>
                <w:bCs/>
                <w:i w:val="0"/>
                <w:iCs w:val="0"/>
                <w:color w:val="000000"/>
                <w:sz w:val="22"/>
                <w:szCs w:val="24"/>
                <w:u w:val="none"/>
              </w:rPr>
            </w:pPr>
          </w:p>
        </w:tc>
      </w:tr>
      <w:tr w14:paraId="36EC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95" w:type="dxa"/>
            <w:gridSpan w:val="3"/>
            <w:tcBorders>
              <w:top w:val="nil"/>
              <w:left w:val="single" w:color="000000" w:sz="4" w:space="0"/>
              <w:bottom w:val="nil"/>
              <w:right w:val="single" w:color="000000" w:sz="4" w:space="0"/>
            </w:tcBorders>
            <w:shd w:val="clear" w:color="auto" w:fill="FFFFFF"/>
            <w:vAlign w:val="center"/>
          </w:tcPr>
          <w:p w14:paraId="735E8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32"/>
                <w:u w:val="none"/>
              </w:rPr>
            </w:pPr>
            <w:r>
              <w:rPr>
                <w:rFonts w:hint="eastAsia" w:ascii="宋体" w:hAnsi="宋体" w:eastAsia="宋体" w:cs="宋体"/>
                <w:b/>
                <w:i w:val="0"/>
                <w:iCs w:val="0"/>
                <w:color w:val="000000"/>
                <w:kern w:val="0"/>
                <w:sz w:val="22"/>
                <w:szCs w:val="32"/>
                <w:u w:val="none"/>
                <w:lang w:val="en-US" w:eastAsia="zh-CN" w:bidi="ar"/>
              </w:rPr>
              <w:t>合计1</w:t>
            </w:r>
          </w:p>
        </w:tc>
        <w:tc>
          <w:tcPr>
            <w:tcW w:w="558" w:type="dxa"/>
            <w:tcBorders>
              <w:top w:val="single" w:color="000000" w:sz="4" w:space="0"/>
              <w:left w:val="single" w:color="000000" w:sz="4" w:space="0"/>
              <w:bottom w:val="nil"/>
              <w:right w:val="single" w:color="000000" w:sz="4" w:space="0"/>
            </w:tcBorders>
            <w:shd w:val="clear" w:color="auto" w:fill="FFFFFF"/>
            <w:vAlign w:val="center"/>
          </w:tcPr>
          <w:p w14:paraId="758A81E7">
            <w:pPr>
              <w:snapToGrid w:val="0"/>
              <w:ind w:left="0" w:leftChars="0" w:right="0" w:rightChars="0" w:firstLine="0" w:firstLineChars="0"/>
              <w:jc w:val="center"/>
              <w:rPr>
                <w:rFonts w:hint="eastAsia" w:ascii="宋体" w:hAnsi="宋体" w:eastAsia="宋体" w:cs="宋体"/>
                <w:b/>
                <w:i w:val="0"/>
                <w:iCs w:val="0"/>
                <w:color w:val="000000"/>
                <w:sz w:val="22"/>
                <w:szCs w:val="24"/>
                <w:u w:val="none"/>
              </w:rPr>
            </w:pPr>
          </w:p>
        </w:tc>
        <w:tc>
          <w:tcPr>
            <w:tcW w:w="1336" w:type="dxa"/>
            <w:tcBorders>
              <w:top w:val="single" w:color="000000" w:sz="4" w:space="0"/>
              <w:left w:val="single" w:color="000000" w:sz="4" w:space="0"/>
              <w:bottom w:val="nil"/>
              <w:right w:val="single" w:color="000000" w:sz="4" w:space="0"/>
            </w:tcBorders>
            <w:shd w:val="clear" w:color="auto" w:fill="FFFFFF"/>
            <w:vAlign w:val="center"/>
          </w:tcPr>
          <w:p w14:paraId="04055682">
            <w:pPr>
              <w:snapToGrid w:val="0"/>
              <w:ind w:left="0" w:leftChars="0" w:right="0" w:rightChars="0" w:firstLine="0" w:firstLineChars="0"/>
              <w:jc w:val="center"/>
              <w:rPr>
                <w:rFonts w:hint="eastAsia" w:ascii="宋体" w:hAnsi="宋体" w:eastAsia="宋体" w:cs="宋体"/>
                <w:b/>
                <w:bCs/>
                <w:i w:val="0"/>
                <w:iCs w:val="0"/>
                <w:color w:val="000000"/>
                <w:sz w:val="22"/>
                <w:szCs w:val="24"/>
                <w:u w:val="none"/>
              </w:rPr>
            </w:pPr>
          </w:p>
        </w:tc>
        <w:tc>
          <w:tcPr>
            <w:tcW w:w="886" w:type="dxa"/>
            <w:tcBorders>
              <w:top w:val="single" w:color="000000" w:sz="4" w:space="0"/>
              <w:left w:val="single" w:color="000000" w:sz="4" w:space="0"/>
              <w:bottom w:val="nil"/>
              <w:right w:val="single" w:color="000000" w:sz="4" w:space="0"/>
            </w:tcBorders>
            <w:shd w:val="clear" w:color="auto" w:fill="FFFFFF"/>
            <w:vAlign w:val="center"/>
          </w:tcPr>
          <w:p w14:paraId="7D70E8AC">
            <w:pPr>
              <w:snapToGrid w:val="0"/>
              <w:ind w:left="0" w:leftChars="0" w:right="0" w:rightChars="0" w:firstLine="0" w:firstLineChars="0"/>
              <w:jc w:val="center"/>
              <w:rPr>
                <w:rFonts w:hint="eastAsia" w:ascii="宋体" w:hAnsi="宋体" w:eastAsia="宋体" w:cs="宋体"/>
                <w:b/>
                <w:bCs/>
                <w:i w:val="0"/>
                <w:iCs w:val="0"/>
                <w:color w:val="000000"/>
                <w:sz w:val="22"/>
                <w:szCs w:val="24"/>
                <w:u w:val="none"/>
              </w:rPr>
            </w:pPr>
          </w:p>
        </w:tc>
        <w:tc>
          <w:tcPr>
            <w:tcW w:w="730" w:type="dxa"/>
            <w:tcBorders>
              <w:top w:val="single" w:color="000000" w:sz="4" w:space="0"/>
              <w:left w:val="single" w:color="000000" w:sz="4" w:space="0"/>
              <w:bottom w:val="nil"/>
              <w:right w:val="single" w:color="000000" w:sz="4" w:space="0"/>
            </w:tcBorders>
            <w:shd w:val="clear" w:color="auto" w:fill="FFFFFF"/>
            <w:vAlign w:val="center"/>
          </w:tcPr>
          <w:p w14:paraId="5E081A8D">
            <w:pPr>
              <w:snapToGrid w:val="0"/>
              <w:ind w:left="0" w:leftChars="0" w:right="0" w:rightChars="0" w:firstLine="0" w:firstLineChars="0"/>
              <w:jc w:val="center"/>
              <w:rPr>
                <w:rFonts w:hint="eastAsia" w:ascii="宋体" w:hAnsi="宋体" w:eastAsia="宋体" w:cs="宋体"/>
                <w:b/>
                <w:i w:val="0"/>
                <w:iCs w:val="0"/>
                <w:color w:val="000000"/>
                <w:sz w:val="22"/>
                <w:szCs w:val="24"/>
                <w:u w:val="none"/>
              </w:rPr>
            </w:pPr>
          </w:p>
        </w:tc>
        <w:tc>
          <w:tcPr>
            <w:tcW w:w="901" w:type="dxa"/>
            <w:tcBorders>
              <w:top w:val="single" w:color="000000" w:sz="4" w:space="0"/>
              <w:left w:val="single" w:color="000000" w:sz="4" w:space="0"/>
              <w:bottom w:val="nil"/>
              <w:right w:val="single" w:color="000000" w:sz="4" w:space="0"/>
            </w:tcBorders>
            <w:shd w:val="clear" w:color="auto" w:fill="auto"/>
            <w:vAlign w:val="center"/>
          </w:tcPr>
          <w:p w14:paraId="7935187B">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901" w:type="dxa"/>
            <w:tcBorders>
              <w:top w:val="single" w:color="000000" w:sz="4" w:space="0"/>
              <w:left w:val="single" w:color="000000" w:sz="4" w:space="0"/>
              <w:bottom w:val="nil"/>
              <w:right w:val="single" w:color="000000" w:sz="4" w:space="0"/>
            </w:tcBorders>
            <w:shd w:val="clear" w:color="auto" w:fill="auto"/>
            <w:vAlign w:val="center"/>
          </w:tcPr>
          <w:p w14:paraId="453408A1">
            <w:pPr>
              <w:snapToGrid w:val="0"/>
              <w:ind w:left="0" w:leftChars="0" w:right="0" w:rightChars="0" w:firstLine="0" w:firstLineChars="0"/>
              <w:jc w:val="center"/>
              <w:rPr>
                <w:rFonts w:hint="eastAsia" w:ascii="宋体" w:hAnsi="宋体" w:eastAsia="宋体" w:cs="宋体"/>
                <w:b/>
                <w:i w:val="0"/>
                <w:iCs w:val="0"/>
                <w:color w:val="000000"/>
                <w:sz w:val="22"/>
                <w:szCs w:val="32"/>
                <w:u w:val="none"/>
              </w:rPr>
            </w:pPr>
          </w:p>
        </w:tc>
        <w:tc>
          <w:tcPr>
            <w:tcW w:w="1769" w:type="dxa"/>
            <w:tcBorders>
              <w:top w:val="single" w:color="000000" w:sz="4" w:space="0"/>
              <w:left w:val="single" w:color="000000" w:sz="4" w:space="0"/>
              <w:bottom w:val="nil"/>
              <w:right w:val="single" w:color="000000" w:sz="4" w:space="0"/>
            </w:tcBorders>
            <w:shd w:val="clear" w:color="auto" w:fill="FFFFFF"/>
            <w:vAlign w:val="center"/>
          </w:tcPr>
          <w:p w14:paraId="648F415E">
            <w:pPr>
              <w:snapToGrid w:val="0"/>
              <w:ind w:left="0" w:leftChars="0" w:right="0" w:rightChars="0" w:firstLine="0" w:firstLineChars="0"/>
              <w:jc w:val="center"/>
              <w:rPr>
                <w:rFonts w:hint="eastAsia" w:ascii="宋体" w:hAnsi="宋体" w:eastAsia="宋体" w:cs="宋体"/>
                <w:b/>
                <w:bCs/>
                <w:i w:val="0"/>
                <w:iCs w:val="0"/>
                <w:color w:val="000000"/>
                <w:sz w:val="22"/>
                <w:szCs w:val="24"/>
                <w:u w:val="none"/>
              </w:rPr>
            </w:pPr>
          </w:p>
        </w:tc>
      </w:tr>
      <w:tr w14:paraId="19A5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7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4DCE6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购置项目</w:t>
            </w:r>
          </w:p>
        </w:tc>
      </w:tr>
      <w:tr w14:paraId="5374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52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150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新购</w:t>
            </w:r>
            <w:r>
              <w:rPr>
                <w:rFonts w:hint="eastAsia" w:ascii="宋体" w:hAnsi="宋体" w:eastAsia="宋体" w:cs="宋体"/>
                <w:i w:val="0"/>
                <w:iCs w:val="0"/>
                <w:color w:val="000000"/>
                <w:kern w:val="0"/>
                <w:sz w:val="22"/>
                <w:szCs w:val="22"/>
                <w:u w:val="none"/>
                <w:lang w:val="en-US" w:eastAsia="zh-CN" w:bidi="ar"/>
              </w:rPr>
              <w:t>活动室地面铺地胶</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参考欧百娜等品牌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8E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9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59B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CB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0A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新购置。</w:t>
            </w:r>
            <w:r>
              <w:rPr>
                <w:rFonts w:hint="eastAsia" w:ascii="宋体" w:hAnsi="宋体" w:eastAsia="宋体" w:cs="宋体"/>
                <w:i w:val="0"/>
                <w:iCs w:val="0"/>
                <w:color w:val="000000"/>
                <w:kern w:val="0"/>
                <w:sz w:val="22"/>
                <w:szCs w:val="22"/>
                <w:u w:val="none"/>
                <w:lang w:val="en-US" w:eastAsia="zh-CN" w:bidi="ar"/>
              </w:rPr>
              <w:t>专用地胶，水性胶水。</w:t>
            </w:r>
          </w:p>
        </w:tc>
      </w:tr>
      <w:tr w14:paraId="6DBB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07E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F6B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新购</w:t>
            </w:r>
            <w:r>
              <w:rPr>
                <w:rFonts w:hint="eastAsia" w:ascii="宋体" w:hAnsi="宋体" w:eastAsia="宋体" w:cs="宋体"/>
                <w:i w:val="0"/>
                <w:iCs w:val="0"/>
                <w:color w:val="000000"/>
                <w:kern w:val="0"/>
                <w:sz w:val="22"/>
                <w:szCs w:val="22"/>
                <w:u w:val="none"/>
                <w:lang w:val="en-US" w:eastAsia="zh-CN" w:bidi="ar"/>
              </w:rPr>
              <w:t>值班室床(含床垫)</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3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8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参考酷林等品牌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B08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D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92C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772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4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新购置。</w:t>
            </w:r>
            <w:r>
              <w:rPr>
                <w:rFonts w:hint="eastAsia" w:ascii="宋体" w:hAnsi="宋体" w:eastAsia="宋体" w:cs="宋体"/>
                <w:i w:val="0"/>
                <w:iCs w:val="0"/>
                <w:color w:val="000000"/>
                <w:kern w:val="0"/>
                <w:sz w:val="22"/>
                <w:szCs w:val="22"/>
                <w:u w:val="none"/>
                <w:lang w:val="en-US" w:eastAsia="zh-CN" w:bidi="ar"/>
              </w:rPr>
              <w:t>1.2M*2M</w:t>
            </w:r>
          </w:p>
        </w:tc>
      </w:tr>
      <w:tr w14:paraId="59F5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5FE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04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桌子</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2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用原有办公桌</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9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0B3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17C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C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9FD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EC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8C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利旧:安装，修复，搬运，摆放</w:t>
            </w:r>
          </w:p>
        </w:tc>
      </w:tr>
      <w:tr w14:paraId="3A2D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E2B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2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2A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用原有椅子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E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E6A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663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DF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2B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8D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利旧:安装，修复，搬运，摆放</w:t>
            </w:r>
          </w:p>
        </w:tc>
      </w:tr>
      <w:tr w14:paraId="0BFD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9D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1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A2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用原有旧灯</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E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46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400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F4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4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49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9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利旧:安装，修复，搬运，摆放</w:t>
            </w:r>
          </w:p>
        </w:tc>
      </w:tr>
      <w:tr w14:paraId="753E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6DA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E1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D7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用原有电线</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B8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CCD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8ED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8A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69D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92F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FF0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利旧:安装，修复，搬运，摆放</w:t>
            </w:r>
          </w:p>
        </w:tc>
      </w:tr>
      <w:tr w14:paraId="1C2C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ED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3D0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D3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用原有旧电热水器</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8F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F77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A31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8F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441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47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FD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利旧:安装，修复，搬运，摆放</w:t>
            </w:r>
          </w:p>
        </w:tc>
      </w:tr>
      <w:tr w14:paraId="3430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45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70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新购</w:t>
            </w:r>
            <w:r>
              <w:rPr>
                <w:rFonts w:hint="eastAsia" w:ascii="宋体" w:hAnsi="宋体" w:eastAsia="宋体" w:cs="宋体"/>
                <w:i w:val="0"/>
                <w:iCs w:val="0"/>
                <w:color w:val="000000"/>
                <w:kern w:val="0"/>
                <w:sz w:val="22"/>
                <w:szCs w:val="22"/>
                <w:u w:val="none"/>
                <w:lang w:val="en-US" w:eastAsia="zh-CN" w:bidi="ar"/>
              </w:rPr>
              <w:t>浴霸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E36D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淋浴间浴霸</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2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B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公牛、雷士、欧普</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72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0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0BB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A6A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ED1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新购置</w:t>
            </w:r>
          </w:p>
        </w:tc>
      </w:tr>
      <w:tr w14:paraId="1084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18A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64A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花洒</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3EF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用原有旧花洒</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1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4E4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146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7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35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CE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FC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利旧:安装，修复，搬运，摆放</w:t>
            </w:r>
          </w:p>
        </w:tc>
      </w:tr>
      <w:tr w14:paraId="7375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B82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E5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房门</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FC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用原有旧门</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6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DE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E0D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A1C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E5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7D8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利旧:安装，修复，搬运，摆放</w:t>
            </w:r>
          </w:p>
        </w:tc>
      </w:tr>
      <w:tr w14:paraId="47E6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C6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61E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柜子</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8C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用原有旧柜子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E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2C9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0D3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E8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1AE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A95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5F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利旧:安装，修复，搬运，摆放</w:t>
            </w:r>
          </w:p>
        </w:tc>
      </w:tr>
      <w:tr w14:paraId="49D1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95" w:type="dxa"/>
            <w:gridSpan w:val="3"/>
            <w:tcBorders>
              <w:top w:val="nil"/>
              <w:left w:val="single" w:color="000000" w:sz="4" w:space="0"/>
              <w:bottom w:val="single" w:color="000000" w:sz="4" w:space="0"/>
              <w:right w:val="single" w:color="000000" w:sz="4" w:space="0"/>
            </w:tcBorders>
            <w:shd w:val="clear" w:color="auto" w:fill="FFFFFF"/>
            <w:vAlign w:val="center"/>
          </w:tcPr>
          <w:p w14:paraId="1606E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32"/>
                <w:u w:val="none"/>
              </w:rPr>
            </w:pPr>
            <w:r>
              <w:rPr>
                <w:rFonts w:hint="eastAsia" w:ascii="宋体" w:hAnsi="宋体" w:eastAsia="宋体" w:cs="宋体"/>
                <w:b/>
                <w:i w:val="0"/>
                <w:iCs w:val="0"/>
                <w:color w:val="000000"/>
                <w:kern w:val="0"/>
                <w:sz w:val="22"/>
                <w:szCs w:val="32"/>
                <w:u w:val="none"/>
                <w:lang w:val="en-US" w:eastAsia="zh-CN" w:bidi="ar"/>
              </w:rPr>
              <w:t>合计2</w:t>
            </w:r>
          </w:p>
        </w:tc>
        <w:tc>
          <w:tcPr>
            <w:tcW w:w="558" w:type="dxa"/>
            <w:tcBorders>
              <w:top w:val="nil"/>
              <w:left w:val="single" w:color="000000" w:sz="4" w:space="0"/>
              <w:bottom w:val="single" w:color="000000" w:sz="4" w:space="0"/>
              <w:right w:val="single" w:color="000000" w:sz="4" w:space="0"/>
            </w:tcBorders>
            <w:shd w:val="clear" w:color="auto" w:fill="auto"/>
            <w:vAlign w:val="center"/>
          </w:tcPr>
          <w:p w14:paraId="435E5962">
            <w:pPr>
              <w:snapToGrid w:val="0"/>
              <w:ind w:left="0" w:leftChars="0" w:right="0" w:rightChars="0" w:firstLine="0" w:firstLineChars="0"/>
              <w:jc w:val="center"/>
              <w:rPr>
                <w:rFonts w:hint="eastAsia" w:ascii="宋体" w:hAnsi="宋体" w:eastAsia="宋体" w:cs="宋体"/>
                <w:b/>
                <w:i w:val="0"/>
                <w:iCs w:val="0"/>
                <w:color w:val="000000"/>
                <w:sz w:val="22"/>
                <w:szCs w:val="32"/>
                <w:u w:val="none"/>
              </w:rPr>
            </w:pPr>
          </w:p>
        </w:tc>
        <w:tc>
          <w:tcPr>
            <w:tcW w:w="1336" w:type="dxa"/>
            <w:tcBorders>
              <w:top w:val="nil"/>
              <w:left w:val="single" w:color="000000" w:sz="4" w:space="0"/>
              <w:bottom w:val="single" w:color="000000" w:sz="4" w:space="0"/>
              <w:right w:val="single" w:color="000000" w:sz="4" w:space="0"/>
            </w:tcBorders>
            <w:shd w:val="clear" w:color="auto" w:fill="auto"/>
            <w:vAlign w:val="center"/>
          </w:tcPr>
          <w:p w14:paraId="3B963283">
            <w:pPr>
              <w:snapToGrid w:val="0"/>
              <w:ind w:left="0" w:leftChars="0" w:right="0" w:rightChars="0" w:firstLine="0" w:firstLineChars="0"/>
              <w:jc w:val="center"/>
              <w:rPr>
                <w:rFonts w:hint="eastAsia" w:ascii="宋体" w:hAnsi="宋体" w:eastAsia="宋体" w:cs="宋体"/>
                <w:b/>
                <w:bCs/>
                <w:i w:val="0"/>
                <w:iCs w:val="0"/>
                <w:color w:val="000000"/>
                <w:sz w:val="22"/>
                <w:szCs w:val="32"/>
                <w:u w:val="none"/>
              </w:rPr>
            </w:pPr>
          </w:p>
        </w:tc>
        <w:tc>
          <w:tcPr>
            <w:tcW w:w="886" w:type="dxa"/>
            <w:tcBorders>
              <w:top w:val="nil"/>
              <w:left w:val="single" w:color="000000" w:sz="4" w:space="0"/>
              <w:bottom w:val="single" w:color="000000" w:sz="4" w:space="0"/>
              <w:right w:val="single" w:color="000000" w:sz="4" w:space="0"/>
            </w:tcBorders>
            <w:shd w:val="clear" w:color="auto" w:fill="auto"/>
            <w:vAlign w:val="center"/>
          </w:tcPr>
          <w:p w14:paraId="646FD38E">
            <w:pPr>
              <w:snapToGrid w:val="0"/>
              <w:ind w:left="0" w:leftChars="0" w:right="0" w:rightChars="0" w:firstLine="0" w:firstLineChars="0"/>
              <w:jc w:val="center"/>
              <w:rPr>
                <w:rFonts w:hint="eastAsia" w:ascii="宋体" w:hAnsi="宋体" w:eastAsia="宋体" w:cs="宋体"/>
                <w:b/>
                <w:bCs/>
                <w:i w:val="0"/>
                <w:iCs w:val="0"/>
                <w:color w:val="000000"/>
                <w:sz w:val="22"/>
                <w:szCs w:val="32"/>
                <w:u w:val="none"/>
              </w:rPr>
            </w:pPr>
          </w:p>
        </w:tc>
        <w:tc>
          <w:tcPr>
            <w:tcW w:w="730" w:type="dxa"/>
            <w:tcBorders>
              <w:top w:val="nil"/>
              <w:left w:val="single" w:color="000000" w:sz="4" w:space="0"/>
              <w:bottom w:val="single" w:color="000000" w:sz="4" w:space="0"/>
              <w:right w:val="single" w:color="000000" w:sz="4" w:space="0"/>
            </w:tcBorders>
            <w:shd w:val="clear" w:color="auto" w:fill="auto"/>
            <w:vAlign w:val="center"/>
          </w:tcPr>
          <w:p w14:paraId="48A6B46A">
            <w:pPr>
              <w:snapToGrid w:val="0"/>
              <w:ind w:left="0" w:leftChars="0" w:right="0" w:rightChars="0" w:firstLine="0" w:firstLineChars="0"/>
              <w:jc w:val="center"/>
              <w:rPr>
                <w:rFonts w:hint="eastAsia" w:ascii="宋体" w:hAnsi="宋体" w:eastAsia="宋体" w:cs="宋体"/>
                <w:b/>
                <w:i w:val="0"/>
                <w:iCs w:val="0"/>
                <w:color w:val="000000"/>
                <w:sz w:val="22"/>
                <w:szCs w:val="32"/>
                <w:u w:val="none"/>
              </w:rPr>
            </w:pPr>
          </w:p>
        </w:tc>
        <w:tc>
          <w:tcPr>
            <w:tcW w:w="901" w:type="dxa"/>
            <w:tcBorders>
              <w:top w:val="nil"/>
              <w:left w:val="single" w:color="000000" w:sz="4" w:space="0"/>
              <w:bottom w:val="single" w:color="000000" w:sz="4" w:space="0"/>
              <w:right w:val="single" w:color="000000" w:sz="4" w:space="0"/>
            </w:tcBorders>
            <w:shd w:val="clear" w:color="auto" w:fill="auto"/>
            <w:vAlign w:val="center"/>
          </w:tcPr>
          <w:p w14:paraId="05BBFC84">
            <w:pPr>
              <w:snapToGrid w:val="0"/>
              <w:ind w:left="0" w:leftChars="0" w:right="0" w:rightChars="0" w:firstLine="0" w:firstLineChars="0"/>
              <w:jc w:val="center"/>
              <w:rPr>
                <w:rFonts w:hint="eastAsia" w:ascii="宋体" w:hAnsi="宋体" w:eastAsia="宋体" w:cs="宋体"/>
                <w:b/>
                <w:i w:val="0"/>
                <w:iCs w:val="0"/>
                <w:color w:val="000000"/>
                <w:sz w:val="22"/>
                <w:szCs w:val="32"/>
                <w:u w:val="none"/>
              </w:rPr>
            </w:pPr>
          </w:p>
        </w:tc>
        <w:tc>
          <w:tcPr>
            <w:tcW w:w="901" w:type="dxa"/>
            <w:tcBorders>
              <w:top w:val="nil"/>
              <w:left w:val="single" w:color="000000" w:sz="4" w:space="0"/>
              <w:bottom w:val="single" w:color="000000" w:sz="4" w:space="0"/>
              <w:right w:val="single" w:color="000000" w:sz="4" w:space="0"/>
            </w:tcBorders>
            <w:shd w:val="clear" w:color="auto" w:fill="auto"/>
            <w:vAlign w:val="center"/>
          </w:tcPr>
          <w:p w14:paraId="0AB0DEE4">
            <w:pPr>
              <w:snapToGrid w:val="0"/>
              <w:ind w:left="0" w:leftChars="0" w:right="0" w:rightChars="0" w:firstLine="0" w:firstLineChars="0"/>
              <w:jc w:val="center"/>
              <w:rPr>
                <w:rFonts w:hint="eastAsia" w:ascii="宋体" w:hAnsi="宋体" w:eastAsia="宋体" w:cs="宋体"/>
                <w:b/>
                <w:i w:val="0"/>
                <w:iCs w:val="0"/>
                <w:color w:val="000000"/>
                <w:sz w:val="22"/>
                <w:szCs w:val="32"/>
                <w:u w:val="none"/>
              </w:rPr>
            </w:pPr>
          </w:p>
        </w:tc>
        <w:tc>
          <w:tcPr>
            <w:tcW w:w="1769" w:type="dxa"/>
            <w:tcBorders>
              <w:top w:val="nil"/>
              <w:left w:val="single" w:color="000000" w:sz="4" w:space="0"/>
              <w:bottom w:val="single" w:color="000000" w:sz="4" w:space="0"/>
              <w:right w:val="single" w:color="000000" w:sz="4" w:space="0"/>
            </w:tcBorders>
            <w:shd w:val="clear" w:color="auto" w:fill="FFFFFF"/>
            <w:vAlign w:val="center"/>
          </w:tcPr>
          <w:p w14:paraId="5CEB32DD">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611E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95" w:type="dxa"/>
            <w:gridSpan w:val="3"/>
            <w:tcBorders>
              <w:top w:val="nil"/>
              <w:left w:val="single" w:color="000000" w:sz="4" w:space="0"/>
              <w:bottom w:val="single" w:color="000000" w:sz="4" w:space="0"/>
              <w:right w:val="single" w:color="000000" w:sz="4" w:space="0"/>
            </w:tcBorders>
            <w:shd w:val="clear" w:color="auto" w:fill="FFFFFF"/>
            <w:vAlign w:val="center"/>
          </w:tcPr>
          <w:p w14:paraId="33462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总费用</w:t>
            </w:r>
          </w:p>
        </w:tc>
        <w:tc>
          <w:tcPr>
            <w:tcW w:w="558" w:type="dxa"/>
            <w:tcBorders>
              <w:top w:val="nil"/>
              <w:left w:val="single" w:color="000000" w:sz="4" w:space="0"/>
              <w:bottom w:val="single" w:color="000000" w:sz="4" w:space="0"/>
              <w:right w:val="single" w:color="000000" w:sz="4" w:space="0"/>
            </w:tcBorders>
            <w:shd w:val="clear" w:color="auto" w:fill="FFFFFF"/>
            <w:noWrap/>
            <w:vAlign w:val="center"/>
          </w:tcPr>
          <w:p w14:paraId="6D285F1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336" w:type="dxa"/>
            <w:tcBorders>
              <w:top w:val="nil"/>
              <w:left w:val="single" w:color="000000" w:sz="4" w:space="0"/>
              <w:bottom w:val="single" w:color="000000" w:sz="4" w:space="0"/>
              <w:right w:val="single" w:color="000000" w:sz="4" w:space="0"/>
            </w:tcBorders>
            <w:shd w:val="clear" w:color="auto" w:fill="FFFFFF"/>
            <w:noWrap/>
            <w:vAlign w:val="center"/>
          </w:tcPr>
          <w:p w14:paraId="4E44CA6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886" w:type="dxa"/>
            <w:tcBorders>
              <w:top w:val="nil"/>
              <w:left w:val="single" w:color="000000" w:sz="4" w:space="0"/>
              <w:bottom w:val="single" w:color="000000" w:sz="4" w:space="0"/>
              <w:right w:val="single" w:color="000000" w:sz="4" w:space="0"/>
            </w:tcBorders>
            <w:shd w:val="clear" w:color="auto" w:fill="FFFFFF"/>
            <w:noWrap/>
            <w:vAlign w:val="center"/>
          </w:tcPr>
          <w:p w14:paraId="0230F18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0" w:type="dxa"/>
            <w:tcBorders>
              <w:top w:val="nil"/>
              <w:left w:val="single" w:color="000000" w:sz="4" w:space="0"/>
              <w:bottom w:val="single" w:color="000000" w:sz="4" w:space="0"/>
              <w:right w:val="single" w:color="000000" w:sz="4" w:space="0"/>
            </w:tcBorders>
            <w:shd w:val="clear" w:color="auto" w:fill="FFFFFF"/>
            <w:noWrap/>
            <w:vAlign w:val="center"/>
          </w:tcPr>
          <w:p w14:paraId="3C312C8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901" w:type="dxa"/>
            <w:tcBorders>
              <w:top w:val="nil"/>
              <w:left w:val="single" w:color="000000" w:sz="4" w:space="0"/>
              <w:bottom w:val="single" w:color="000000" w:sz="4" w:space="0"/>
              <w:right w:val="single" w:color="000000" w:sz="4" w:space="0"/>
            </w:tcBorders>
            <w:shd w:val="clear" w:color="auto" w:fill="FFFFFF"/>
            <w:noWrap/>
            <w:vAlign w:val="center"/>
          </w:tcPr>
          <w:p w14:paraId="27A710A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901" w:type="dxa"/>
            <w:tcBorders>
              <w:top w:val="nil"/>
              <w:left w:val="single" w:color="000000" w:sz="4" w:space="0"/>
              <w:bottom w:val="single" w:color="000000" w:sz="4" w:space="0"/>
              <w:right w:val="single" w:color="000000" w:sz="4" w:space="0"/>
            </w:tcBorders>
            <w:shd w:val="clear" w:color="auto" w:fill="FFFFFF"/>
            <w:noWrap/>
            <w:vAlign w:val="center"/>
          </w:tcPr>
          <w:p w14:paraId="30308BF2">
            <w:pPr>
              <w:snapToGrid w:val="0"/>
              <w:ind w:left="0" w:leftChars="0" w:right="0" w:rightChars="0" w:firstLine="0" w:firstLineChars="0"/>
              <w:jc w:val="center"/>
              <w:rPr>
                <w:rFonts w:hint="eastAsia" w:ascii="宋体" w:hAnsi="宋体" w:eastAsia="宋体" w:cs="宋体"/>
                <w:i w:val="0"/>
                <w:iCs w:val="0"/>
                <w:color w:val="000000"/>
                <w:sz w:val="32"/>
                <w:szCs w:val="32"/>
                <w:u w:val="none"/>
              </w:rPr>
            </w:pPr>
          </w:p>
        </w:tc>
        <w:tc>
          <w:tcPr>
            <w:tcW w:w="1769" w:type="dxa"/>
            <w:tcBorders>
              <w:top w:val="nil"/>
              <w:left w:val="single" w:color="000000" w:sz="4" w:space="0"/>
              <w:bottom w:val="single" w:color="000000" w:sz="4" w:space="0"/>
              <w:right w:val="single" w:color="000000" w:sz="4" w:space="0"/>
            </w:tcBorders>
            <w:shd w:val="clear" w:color="auto" w:fill="FFFFFF"/>
            <w:noWrap/>
            <w:vAlign w:val="center"/>
          </w:tcPr>
          <w:p w14:paraId="4345737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bl>
    <w:p w14:paraId="6B34F539">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color w:val="FF0000"/>
          <w:sz w:val="24"/>
          <w:szCs w:val="24"/>
          <w:lang w:val="en-US" w:eastAsia="zh-CN"/>
        </w:rPr>
      </w:pPr>
    </w:p>
    <w:p w14:paraId="673B5DBA">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p w14:paraId="07762086">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FF0000"/>
          <w:sz w:val="24"/>
          <w:szCs w:val="24"/>
          <w:lang w:val="en-US" w:eastAsia="zh-CN"/>
        </w:rPr>
      </w:pPr>
    </w:p>
    <w:p w14:paraId="007A6C4B">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eastAsia="zh-CN"/>
        </w:rPr>
      </w:pPr>
    </w:p>
    <w:p w14:paraId="1BF1D803">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eastAsia="zh-CN"/>
        </w:rPr>
      </w:pPr>
    </w:p>
    <w:p w14:paraId="27998D9D">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86A4">
    <w:pPr>
      <w:pStyle w:val="6"/>
      <w:jc w:val="center"/>
    </w:pPr>
    <w:r>
      <w:fldChar w:fldCharType="begin"/>
    </w:r>
    <w:r>
      <w:instrText xml:space="preserve">PAGE   \* MERGEFORMAT</w:instrText>
    </w:r>
    <w:r>
      <w:fldChar w:fldCharType="separate"/>
    </w:r>
    <w:r>
      <w:rPr>
        <w:lang w:val="zh-CN"/>
      </w:rPr>
      <w:t>4</w:t>
    </w:r>
    <w:r>
      <w:fldChar w:fldCharType="end"/>
    </w:r>
  </w:p>
  <w:p w14:paraId="3628C3A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C4C0D"/>
    <w:multiLevelType w:val="singleLevel"/>
    <w:tmpl w:val="C77C4C0D"/>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1."/>
      <w:lvlJc w:val="left"/>
      <w:pPr>
        <w:tabs>
          <w:tab w:val="left" w:pos="704"/>
        </w:tabs>
        <w:ind w:left="704" w:hanging="420"/>
      </w:pPr>
      <w:rPr>
        <w:rFonts w:hint="eastAsia" w:cs="Times New Roman"/>
      </w:rPr>
    </w:lvl>
    <w:lvl w:ilvl="1" w:tentative="0">
      <w:start w:val="1"/>
      <w:numFmt w:val="decimal"/>
      <w:lvlText w:val="%2、"/>
      <w:lvlJc w:val="left"/>
      <w:pPr>
        <w:tabs>
          <w:tab w:val="left" w:pos="780"/>
        </w:tabs>
        <w:ind w:left="780" w:hanging="360"/>
      </w:pPr>
      <w:rPr>
        <w:rFonts w:hint="default" w:cs="Times New Roman"/>
        <w:u w:val="none"/>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5"/>
    <w:multiLevelType w:val="multilevel"/>
    <w:tmpl w:val="00000005"/>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00000006"/>
    <w:multiLevelType w:val="multilevel"/>
    <w:tmpl w:val="00000006"/>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5">
    <w:nsid w:val="00000007"/>
    <w:multiLevelType w:val="multilevel"/>
    <w:tmpl w:val="00000007"/>
    <w:lvl w:ilvl="0" w:tentative="0">
      <w:start w:val="1"/>
      <w:numFmt w:val="decimal"/>
      <w:lvlText w:val="%1."/>
      <w:lvlJc w:val="left"/>
      <w:pPr>
        <w:tabs>
          <w:tab w:val="left" w:pos="8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8"/>
    <w:multiLevelType w:val="multilevel"/>
    <w:tmpl w:val="00000008"/>
    <w:lvl w:ilvl="0" w:tentative="0">
      <w:start w:val="1"/>
      <w:numFmt w:val="decimal"/>
      <w:lvlText w:val="%1."/>
      <w:lvlJc w:val="left"/>
      <w:pPr>
        <w:tabs>
          <w:tab w:val="left" w:pos="8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09"/>
    <w:multiLevelType w:val="singleLevel"/>
    <w:tmpl w:val="00000009"/>
    <w:lvl w:ilvl="0" w:tentative="0">
      <w:start w:val="2"/>
      <w:numFmt w:val="decimal"/>
      <w:suff w:val="nothing"/>
      <w:lvlText w:val="%1、"/>
      <w:lvlJc w:val="left"/>
    </w:lvl>
  </w:abstractNum>
  <w:abstractNum w:abstractNumId="8">
    <w:nsid w:val="0000000A"/>
    <w:multiLevelType w:val="multilevel"/>
    <w:tmpl w:val="0000000A"/>
    <w:lvl w:ilvl="0" w:tentative="0">
      <w:start w:val="1"/>
      <w:numFmt w:val="decimal"/>
      <w:lvlText w:val="%1."/>
      <w:lvlJc w:val="left"/>
      <w:pPr>
        <w:tabs>
          <w:tab w:val="left" w:pos="8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33D0478F"/>
    <w:multiLevelType w:val="singleLevel"/>
    <w:tmpl w:val="33D0478F"/>
    <w:lvl w:ilvl="0" w:tentative="0">
      <w:start w:val="1"/>
      <w:numFmt w:val="decimal"/>
      <w:lvlText w:val="%1."/>
      <w:lvlJc w:val="left"/>
      <w:pPr>
        <w:tabs>
          <w:tab w:val="left" w:pos="312"/>
        </w:tabs>
      </w:pPr>
    </w:lvl>
  </w:abstractNum>
  <w:abstractNum w:abstractNumId="10">
    <w:nsid w:val="4AF12F6F"/>
    <w:multiLevelType w:val="singleLevel"/>
    <w:tmpl w:val="4AF12F6F"/>
    <w:lvl w:ilvl="0" w:tentative="0">
      <w:start w:val="1"/>
      <w:numFmt w:val="decimal"/>
      <w:suff w:val="nothing"/>
      <w:lvlText w:val="%1、"/>
      <w:lvlJc w:val="left"/>
    </w:lvl>
  </w:abstractNum>
  <w:num w:numId="1">
    <w:abstractNumId w:val="3"/>
  </w:num>
  <w:num w:numId="2">
    <w:abstractNumId w:val="2"/>
  </w:num>
  <w:num w:numId="3">
    <w:abstractNumId w:val="7"/>
  </w:num>
  <w:num w:numId="4">
    <w:abstractNumId w:val="10"/>
  </w:num>
  <w:num w:numId="5">
    <w:abstractNumId w:val="5"/>
  </w:num>
  <w:num w:numId="6">
    <w:abstractNumId w:val="8"/>
  </w:num>
  <w:num w:numId="7">
    <w:abstractNumId w:val="6"/>
  </w:num>
  <w:num w:numId="8">
    <w:abstractNumId w:val="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YmY2Y2NlY2EyMjBlN2IwMzE1ZjkzN2Q5NDJlOGEifQ=="/>
  </w:docVars>
  <w:rsids>
    <w:rsidRoot w:val="00000000"/>
    <w:rsid w:val="001570FF"/>
    <w:rsid w:val="013C06BC"/>
    <w:rsid w:val="02D4614B"/>
    <w:rsid w:val="04781A0B"/>
    <w:rsid w:val="05595CE0"/>
    <w:rsid w:val="083D71F3"/>
    <w:rsid w:val="09CF4F0F"/>
    <w:rsid w:val="100F3B6B"/>
    <w:rsid w:val="10345380"/>
    <w:rsid w:val="11E17C8E"/>
    <w:rsid w:val="13370CE3"/>
    <w:rsid w:val="16084280"/>
    <w:rsid w:val="1C085913"/>
    <w:rsid w:val="1D305121"/>
    <w:rsid w:val="1F042BC9"/>
    <w:rsid w:val="20280331"/>
    <w:rsid w:val="206C3A15"/>
    <w:rsid w:val="208E288A"/>
    <w:rsid w:val="21CF4F08"/>
    <w:rsid w:val="24514B0E"/>
    <w:rsid w:val="26DF697C"/>
    <w:rsid w:val="27952750"/>
    <w:rsid w:val="28EA6ACC"/>
    <w:rsid w:val="298A5BB9"/>
    <w:rsid w:val="2F120B2A"/>
    <w:rsid w:val="32CD025A"/>
    <w:rsid w:val="33291F9F"/>
    <w:rsid w:val="33356B95"/>
    <w:rsid w:val="36EF52AD"/>
    <w:rsid w:val="373408AB"/>
    <w:rsid w:val="3962620A"/>
    <w:rsid w:val="3A670754"/>
    <w:rsid w:val="3BBB7E54"/>
    <w:rsid w:val="3C8B3CCA"/>
    <w:rsid w:val="3CCA034E"/>
    <w:rsid w:val="3D7301CB"/>
    <w:rsid w:val="3D736299"/>
    <w:rsid w:val="419A6C65"/>
    <w:rsid w:val="47F95F8C"/>
    <w:rsid w:val="487970CD"/>
    <w:rsid w:val="48C45BD1"/>
    <w:rsid w:val="493556E9"/>
    <w:rsid w:val="4A5B4CDC"/>
    <w:rsid w:val="4D5819A6"/>
    <w:rsid w:val="4E834801"/>
    <w:rsid w:val="4EA07161"/>
    <w:rsid w:val="4F7725B8"/>
    <w:rsid w:val="4FCD667C"/>
    <w:rsid w:val="50FB4B23"/>
    <w:rsid w:val="520D7203"/>
    <w:rsid w:val="529E60AD"/>
    <w:rsid w:val="54436F0C"/>
    <w:rsid w:val="5D902DFD"/>
    <w:rsid w:val="5F6146EB"/>
    <w:rsid w:val="633F3C44"/>
    <w:rsid w:val="63AB5A8E"/>
    <w:rsid w:val="63E36016"/>
    <w:rsid w:val="65566374"/>
    <w:rsid w:val="69431305"/>
    <w:rsid w:val="6BEB1F0C"/>
    <w:rsid w:val="6CDF30F3"/>
    <w:rsid w:val="6FC85BF4"/>
    <w:rsid w:val="707B5742"/>
    <w:rsid w:val="73593BFF"/>
    <w:rsid w:val="73903D48"/>
    <w:rsid w:val="742C4E6F"/>
    <w:rsid w:val="747405C4"/>
    <w:rsid w:val="76AA651F"/>
    <w:rsid w:val="775F37AE"/>
    <w:rsid w:val="78372035"/>
    <w:rsid w:val="79077C59"/>
    <w:rsid w:val="7AC676A0"/>
    <w:rsid w:val="7B022DCE"/>
    <w:rsid w:val="7BFD73F2"/>
    <w:rsid w:val="7D3354C1"/>
    <w:rsid w:val="7E7E6C0F"/>
    <w:rsid w:val="7EE1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11">
    <w:name w:val="Default Paragraph Font"/>
    <w:autoRedefine/>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Body Text 3"/>
    <w:basedOn w:val="1"/>
    <w:link w:val="14"/>
    <w:qFormat/>
    <w:uiPriority w:val="0"/>
    <w:pPr>
      <w:spacing w:line="400" w:lineRule="atLeast"/>
    </w:pPr>
    <w:rPr>
      <w:rFonts w:ascii="宋体"/>
      <w:bCs/>
      <w:sz w:val="24"/>
      <w:szCs w:val="20"/>
    </w:rPr>
  </w:style>
  <w:style w:type="paragraph" w:styleId="4">
    <w:name w:val="Body Text Indent"/>
    <w:basedOn w:val="1"/>
    <w:link w:val="15"/>
    <w:qFormat/>
    <w:uiPriority w:val="99"/>
    <w:pPr>
      <w:spacing w:after="120"/>
      <w:ind w:left="420" w:leftChars="200"/>
    </w:pPr>
  </w:style>
  <w:style w:type="paragraph" w:styleId="5">
    <w:name w:val="Balloon Text"/>
    <w:basedOn w:val="1"/>
    <w:link w:val="19"/>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380"/>
      </w:tabs>
      <w:jc w:val="center"/>
    </w:pPr>
    <w:rPr>
      <w:b/>
      <w:sz w:val="40"/>
      <w:szCs w:val="32"/>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99"/>
    <w:rPr>
      <w:rFonts w:cs="Times New Roman"/>
      <w:color w:val="0000FF"/>
      <w:u w:val="single"/>
    </w:rPr>
  </w:style>
  <w:style w:type="character" w:customStyle="1" w:styleId="13">
    <w:name w:val="标题 1 Char"/>
    <w:basedOn w:val="11"/>
    <w:link w:val="2"/>
    <w:autoRedefine/>
    <w:qFormat/>
    <w:uiPriority w:val="99"/>
    <w:rPr>
      <w:rFonts w:ascii="Times New Roman" w:hAnsi="Times New Roman" w:eastAsia="宋体" w:cs="Times New Roman"/>
      <w:b/>
      <w:bCs/>
      <w:kern w:val="44"/>
      <w:sz w:val="44"/>
      <w:szCs w:val="44"/>
    </w:rPr>
  </w:style>
  <w:style w:type="character" w:customStyle="1" w:styleId="14">
    <w:name w:val="正文文本 3 Char"/>
    <w:basedOn w:val="11"/>
    <w:link w:val="3"/>
    <w:autoRedefine/>
    <w:qFormat/>
    <w:uiPriority w:val="0"/>
    <w:rPr>
      <w:rFonts w:ascii="宋体" w:hAnsi="Times New Roman" w:eastAsia="宋体" w:cs="Times New Roman"/>
      <w:bCs/>
      <w:sz w:val="24"/>
      <w:szCs w:val="20"/>
    </w:rPr>
  </w:style>
  <w:style w:type="character" w:customStyle="1" w:styleId="15">
    <w:name w:val="正文文本缩进 Char"/>
    <w:basedOn w:val="11"/>
    <w:link w:val="4"/>
    <w:autoRedefine/>
    <w:qFormat/>
    <w:uiPriority w:val="99"/>
    <w:rPr>
      <w:rFonts w:ascii="Times New Roman" w:hAnsi="Times New Roman" w:eastAsia="宋体" w:cs="Times New Roman"/>
      <w:szCs w:val="24"/>
    </w:rPr>
  </w:style>
  <w:style w:type="character" w:customStyle="1" w:styleId="16">
    <w:name w:val="页脚 Char"/>
    <w:basedOn w:val="11"/>
    <w:link w:val="6"/>
    <w:autoRedefine/>
    <w:qFormat/>
    <w:uiPriority w:val="99"/>
    <w:rPr>
      <w:rFonts w:ascii="Times New Roman" w:hAnsi="Times New Roman" w:eastAsia="宋体" w:cs="Times New Roman"/>
      <w:sz w:val="18"/>
      <w:szCs w:val="18"/>
    </w:rPr>
  </w:style>
  <w:style w:type="paragraph" w:styleId="17">
    <w:name w:val="List Paragraph"/>
    <w:basedOn w:val="1"/>
    <w:autoRedefine/>
    <w:qFormat/>
    <w:uiPriority w:val="34"/>
    <w:pPr>
      <w:ind w:firstLine="420" w:firstLineChars="200"/>
    </w:pPr>
  </w:style>
  <w:style w:type="paragraph" w:customStyle="1" w:styleId="18">
    <w:name w:val="11111"/>
    <w:basedOn w:val="2"/>
    <w:autoRedefine/>
    <w:qFormat/>
    <w:uiPriority w:val="0"/>
    <w:rPr>
      <w:sz w:val="28"/>
      <w:szCs w:val="28"/>
    </w:rPr>
  </w:style>
  <w:style w:type="character" w:customStyle="1" w:styleId="19">
    <w:name w:val="批注框文本 Char"/>
    <w:basedOn w:val="11"/>
    <w:link w:val="5"/>
    <w:autoRedefine/>
    <w:qFormat/>
    <w:uiPriority w:val="99"/>
    <w:rPr>
      <w:rFonts w:ascii="Times New Roman" w:hAnsi="Times New Roman" w:eastAsia="宋体" w:cs="Times New Roman"/>
      <w:sz w:val="18"/>
      <w:szCs w:val="18"/>
    </w:rPr>
  </w:style>
  <w:style w:type="character" w:customStyle="1" w:styleId="20">
    <w:name w:val="页眉 Char"/>
    <w:basedOn w:val="11"/>
    <w:link w:val="7"/>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4118</Words>
  <Characters>4184</Characters>
  <Paragraphs>157</Paragraphs>
  <TotalTime>1</TotalTime>
  <ScaleCrop>false</ScaleCrop>
  <LinksUpToDate>false</LinksUpToDate>
  <CharactersWithSpaces>4321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2024-03-26T11:44:00Z</dcterms:created>
  <dc:creator>Don</dc:creator>
  <cp:lastModifiedBy>魏慧敏</cp:lastModifiedBy>
  <cp:lastPrinted>2025-10-21T00:55:00Z</cp:lastPrinted>
  <dcterms:modified xsi:type="dcterms:W3CDTF">2025-11-26T02:15:35Z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DEABCF5C3858455E8F98E1374E7E9A7F_13</vt:lpwstr>
  </property>
  <property fmtid="{D5CDD505-2E9C-101B-9397-08002B2CF9AE}" pid="4" name="KSOTemplateDocerSaveRecord">
    <vt:lpwstr>eyJoZGlkIjoiMWJiNTY1Yjg3ZjkxZWMzMGNkYWNhZWVmYzFhZjUzZmIiLCJ1c2VySWQiOiIxNzMxMjM4OTIxIn0=</vt:lpwstr>
  </property>
</Properties>
</file>