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46FB0">
      <w:pPr>
        <w:jc w:val="center"/>
        <w:rPr>
          <w:rFonts w:hint="eastAsia" w:ascii="方正小标宋简体" w:eastAsia="方正小标宋简体"/>
          <w:sz w:val="44"/>
          <w:szCs w:val="44"/>
        </w:rPr>
      </w:pPr>
    </w:p>
    <w:p w14:paraId="44B322C4">
      <w:pPr>
        <w:jc w:val="center"/>
        <w:rPr>
          <w:rFonts w:hint="eastAsia" w:ascii="方正小标宋简体" w:eastAsia="方正小标宋简体"/>
          <w:sz w:val="44"/>
          <w:szCs w:val="44"/>
        </w:rPr>
      </w:pPr>
      <w:r>
        <w:rPr>
          <w:rFonts w:hint="eastAsia" w:ascii="方正小标宋简体" w:eastAsia="方正小标宋简体"/>
          <w:sz w:val="44"/>
          <w:szCs w:val="44"/>
        </w:rPr>
        <w:t>“防白蚁、除四害”专业服务</w:t>
      </w:r>
    </w:p>
    <w:p w14:paraId="1EABFCA3">
      <w:pPr>
        <w:jc w:val="center"/>
        <w:rPr>
          <w:rFonts w:hint="eastAsia" w:ascii="方正小标宋简体" w:eastAsia="方正小标宋简体"/>
          <w:sz w:val="44"/>
          <w:szCs w:val="44"/>
        </w:rPr>
      </w:pPr>
      <w:r>
        <w:rPr>
          <w:rFonts w:hint="eastAsia" w:ascii="方正小标宋简体" w:eastAsia="方正小标宋简体"/>
          <w:sz w:val="44"/>
          <w:szCs w:val="44"/>
        </w:rPr>
        <w:t>合同协议书</w:t>
      </w:r>
    </w:p>
    <w:p w14:paraId="51F1752A">
      <w:pPr>
        <w:pStyle w:val="2"/>
        <w:ind w:firstLine="0" w:firstLineChars="0"/>
        <w:rPr>
          <w:rFonts w:hint="eastAsia"/>
          <w:b/>
          <w:bCs/>
        </w:rPr>
      </w:pPr>
      <w:r>
        <w:rPr>
          <w:rFonts w:hint="eastAsia"/>
          <w:b/>
          <w:bCs/>
        </w:rPr>
        <w:t>甲方：湖北省卫生健康委员会</w:t>
      </w:r>
    </w:p>
    <w:p w14:paraId="72B1CED6">
      <w:pPr>
        <w:pStyle w:val="2"/>
        <w:ind w:firstLine="0" w:firstLineChars="0"/>
        <w:rPr>
          <w:rFonts w:hint="default" w:eastAsia="仿宋_GB2312"/>
          <w:u w:val="single"/>
          <w:lang w:val="en-US" w:eastAsia="zh-CN"/>
        </w:rPr>
      </w:pPr>
      <w:r>
        <w:rPr>
          <w:rFonts w:hint="eastAsia"/>
          <w:b/>
          <w:bCs/>
        </w:rPr>
        <w:t>乙方：</w:t>
      </w:r>
      <w:r>
        <w:rPr>
          <w:rFonts w:hint="eastAsia"/>
          <w:b/>
          <w:bCs/>
          <w:lang w:val="en-US" w:eastAsia="zh-CN"/>
        </w:rPr>
        <w:t xml:space="preserve">                   </w:t>
      </w:r>
    </w:p>
    <w:p w14:paraId="7A412F98">
      <w:pPr>
        <w:pStyle w:val="2"/>
        <w:ind w:firstLine="640"/>
        <w:rPr>
          <w:rFonts w:hint="eastAsia"/>
        </w:rPr>
      </w:pPr>
      <w:r>
        <w:rPr>
          <w:rFonts w:hint="eastAsia"/>
        </w:rPr>
        <w:t>鉴于经合法招投标程序评标确定，乙方成交并承接</w:t>
      </w:r>
      <w:bookmarkStart w:id="0" w:name="_Hlk175229639"/>
      <w:r>
        <w:rPr>
          <w:rFonts w:hint="eastAsia"/>
        </w:rPr>
        <w:t>湖北省卫健委各院区“防白蚁、除四害”专业服务</w:t>
      </w:r>
      <w:bookmarkEnd w:id="0"/>
      <w:r>
        <w:rPr>
          <w:rFonts w:hint="eastAsia"/>
        </w:rPr>
        <w:t>工作。甲、乙双方经协商一致，在平等、自愿、诚实信用原则的基础上，依据《中华人民共和国民法典》、《武汉市城镇除害工作管理规定》</w:t>
      </w:r>
      <w:r>
        <w:rPr>
          <w:rFonts w:hint="eastAsia"/>
          <w:lang w:val="en-US" w:eastAsia="zh-CN"/>
        </w:rPr>
        <w:t>、</w:t>
      </w:r>
      <w:r>
        <w:rPr>
          <w:rFonts w:hint="eastAsia"/>
        </w:rPr>
        <w:t>《城市房屋白蚁防治管理规定》、《湖北省爱国卫生条例》及相关法律、法规的规定，就甲方发包、乙方承包的以上项目事宜，达成如下协议：</w:t>
      </w:r>
    </w:p>
    <w:p w14:paraId="7F9DAE35">
      <w:pPr>
        <w:pStyle w:val="2"/>
        <w:numPr>
          <w:ilvl w:val="0"/>
          <w:numId w:val="1"/>
        </w:numPr>
        <w:ind w:firstLine="640"/>
        <w:rPr>
          <w:rFonts w:hint="eastAsia"/>
        </w:rPr>
      </w:pPr>
      <w:r>
        <w:rPr>
          <w:rFonts w:hint="eastAsia"/>
        </w:rPr>
        <w:t>项目名称：湖北省卫健委各院区“防白蚁、除四害”专业服务</w:t>
      </w:r>
    </w:p>
    <w:p w14:paraId="724B302D">
      <w:pPr>
        <w:pStyle w:val="2"/>
        <w:numPr>
          <w:ilvl w:val="0"/>
          <w:numId w:val="1"/>
        </w:numPr>
        <w:ind w:firstLine="640"/>
        <w:rPr>
          <w:rFonts w:hint="eastAsia"/>
        </w:rPr>
      </w:pPr>
      <w:r>
        <w:rPr>
          <w:rFonts w:hint="eastAsia"/>
        </w:rPr>
        <w:t>合同范围：</w:t>
      </w:r>
    </w:p>
    <w:p w14:paraId="2D9ECDC7">
      <w:pPr>
        <w:pStyle w:val="2"/>
        <w:numPr>
          <w:ilvl w:val="0"/>
          <w:numId w:val="2"/>
        </w:numPr>
        <w:ind w:left="480" w:leftChars="200" w:firstLine="0" w:firstLineChars="0"/>
        <w:rPr>
          <w:rFonts w:hint="eastAsia"/>
        </w:rPr>
      </w:pPr>
      <w:r>
        <w:rPr>
          <w:rFonts w:hint="eastAsia"/>
        </w:rPr>
        <w:t>“防白蚁、除四害”专业服务区域：</w:t>
      </w:r>
    </w:p>
    <w:tbl>
      <w:tblPr>
        <w:tblStyle w:val="5"/>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873"/>
        <w:gridCol w:w="2464"/>
        <w:gridCol w:w="3129"/>
        <w:gridCol w:w="603"/>
      </w:tblGrid>
      <w:tr w14:paraId="76B0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9" w:type="dxa"/>
            <w:gridSpan w:val="5"/>
            <w:vAlign w:val="center"/>
          </w:tcPr>
          <w:p w14:paraId="4533652F">
            <w:pPr>
              <w:jc w:val="center"/>
              <w:rPr>
                <w:rFonts w:hint="eastAsia" w:ascii="仿宋_GB2312"/>
                <w:sz w:val="32"/>
                <w:szCs w:val="32"/>
              </w:rPr>
            </w:pPr>
            <w:r>
              <w:rPr>
                <w:rFonts w:hint="eastAsia" w:ascii="仿宋_GB2312"/>
                <w:b/>
                <w:bCs/>
                <w:sz w:val="32"/>
                <w:szCs w:val="32"/>
              </w:rPr>
              <w:t>“防白蚁、除四害”服务需求院区</w:t>
            </w:r>
          </w:p>
        </w:tc>
      </w:tr>
      <w:tr w14:paraId="5D73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14:paraId="1110AFF6">
            <w:pPr>
              <w:jc w:val="center"/>
              <w:rPr>
                <w:rFonts w:hint="eastAsia"/>
              </w:rPr>
            </w:pPr>
            <w:r>
              <w:rPr>
                <w:rFonts w:hint="eastAsia" w:ascii="仿宋_GB2312"/>
                <w:sz w:val="32"/>
                <w:szCs w:val="32"/>
              </w:rPr>
              <w:t>序号</w:t>
            </w:r>
          </w:p>
        </w:tc>
        <w:tc>
          <w:tcPr>
            <w:tcW w:w="1873" w:type="dxa"/>
            <w:vAlign w:val="center"/>
          </w:tcPr>
          <w:p w14:paraId="59DB7338">
            <w:pPr>
              <w:jc w:val="center"/>
              <w:rPr>
                <w:rFonts w:hint="eastAsia"/>
              </w:rPr>
            </w:pPr>
            <w:r>
              <w:rPr>
                <w:rFonts w:hint="eastAsia" w:ascii="仿宋_GB2312"/>
                <w:sz w:val="32"/>
                <w:szCs w:val="32"/>
              </w:rPr>
              <w:t>院区</w:t>
            </w:r>
          </w:p>
        </w:tc>
        <w:tc>
          <w:tcPr>
            <w:tcW w:w="2464" w:type="dxa"/>
            <w:vAlign w:val="center"/>
          </w:tcPr>
          <w:p w14:paraId="76A7000D">
            <w:pPr>
              <w:jc w:val="center"/>
              <w:rPr>
                <w:rFonts w:hint="eastAsia" w:ascii="仿宋_GB2312"/>
                <w:sz w:val="32"/>
                <w:szCs w:val="32"/>
              </w:rPr>
            </w:pPr>
            <w:r>
              <w:rPr>
                <w:rFonts w:hint="eastAsia" w:ascii="仿宋_GB2312"/>
                <w:sz w:val="32"/>
                <w:szCs w:val="32"/>
                <w:lang w:val="en-US" w:eastAsia="zh-CN"/>
              </w:rPr>
              <w:t>办公区建筑</w:t>
            </w:r>
            <w:r>
              <w:rPr>
                <w:rFonts w:hint="eastAsia" w:ascii="仿宋_GB2312"/>
                <w:sz w:val="32"/>
                <w:szCs w:val="32"/>
              </w:rPr>
              <w:t>面积</w:t>
            </w:r>
          </w:p>
        </w:tc>
        <w:tc>
          <w:tcPr>
            <w:tcW w:w="3129" w:type="dxa"/>
            <w:shd w:val="clear" w:color="auto" w:fill="auto"/>
            <w:vAlign w:val="center"/>
          </w:tcPr>
          <w:p w14:paraId="7EE55668">
            <w:pPr>
              <w:jc w:val="center"/>
              <w:rPr>
                <w:rFonts w:hint="eastAsia" w:eastAsia="仿宋_GB2312" w:asciiTheme="minorHAnsi" w:hAnsiTheme="minorHAnsi" w:cstheme="minorBidi"/>
                <w:kern w:val="2"/>
                <w:sz w:val="24"/>
                <w:szCs w:val="22"/>
                <w:lang w:val="en-US" w:eastAsia="zh-CN" w:bidi="ar-SA"/>
              </w:rPr>
            </w:pPr>
            <w:r>
              <w:rPr>
                <w:rFonts w:hint="eastAsia" w:ascii="仿宋_GB2312"/>
                <w:sz w:val="32"/>
                <w:szCs w:val="32"/>
              </w:rPr>
              <w:t>地址</w:t>
            </w:r>
          </w:p>
        </w:tc>
        <w:tc>
          <w:tcPr>
            <w:tcW w:w="603" w:type="dxa"/>
            <w:shd w:val="clear" w:color="auto" w:fill="auto"/>
            <w:vAlign w:val="center"/>
          </w:tcPr>
          <w:p w14:paraId="0ACBB398">
            <w:pPr>
              <w:jc w:val="center"/>
              <w:rPr>
                <w:rFonts w:hint="eastAsia" w:eastAsia="仿宋_GB2312" w:asciiTheme="minorHAnsi" w:hAnsiTheme="minorHAnsi" w:cstheme="minorBidi"/>
                <w:kern w:val="2"/>
                <w:sz w:val="24"/>
                <w:szCs w:val="22"/>
                <w:lang w:val="en-US" w:eastAsia="zh-CN" w:bidi="ar-SA"/>
              </w:rPr>
            </w:pPr>
            <w:r>
              <w:rPr>
                <w:rFonts w:hint="eastAsia" w:ascii="仿宋_GB2312"/>
                <w:sz w:val="32"/>
                <w:szCs w:val="32"/>
              </w:rPr>
              <w:t>备注</w:t>
            </w:r>
          </w:p>
        </w:tc>
      </w:tr>
      <w:tr w14:paraId="07DD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14:paraId="07B61276">
            <w:pPr>
              <w:jc w:val="center"/>
              <w:rPr>
                <w:rFonts w:hint="eastAsia"/>
              </w:rPr>
            </w:pPr>
            <w:r>
              <w:rPr>
                <w:rFonts w:hint="eastAsia" w:ascii="仿宋_GB2312"/>
                <w:sz w:val="32"/>
                <w:szCs w:val="32"/>
              </w:rPr>
              <w:t>1</w:t>
            </w:r>
          </w:p>
        </w:tc>
        <w:tc>
          <w:tcPr>
            <w:tcW w:w="1873" w:type="dxa"/>
            <w:vAlign w:val="center"/>
          </w:tcPr>
          <w:p w14:paraId="41FFF23A">
            <w:pPr>
              <w:jc w:val="center"/>
              <w:rPr>
                <w:rFonts w:hint="eastAsia" w:ascii="仿宋_GB2312"/>
                <w:sz w:val="32"/>
                <w:szCs w:val="32"/>
              </w:rPr>
            </w:pPr>
            <w:r>
              <w:rPr>
                <w:rFonts w:hint="eastAsia" w:ascii="仿宋_GB2312"/>
                <w:sz w:val="32"/>
                <w:szCs w:val="32"/>
              </w:rPr>
              <w:t>卓刀泉院区</w:t>
            </w:r>
          </w:p>
        </w:tc>
        <w:tc>
          <w:tcPr>
            <w:tcW w:w="2464" w:type="dxa"/>
            <w:vAlign w:val="center"/>
          </w:tcPr>
          <w:p w14:paraId="5FB9AD6C">
            <w:pPr>
              <w:jc w:val="center"/>
              <w:rPr>
                <w:rFonts w:hint="eastAsia" w:ascii="仿宋_GB2312"/>
                <w:sz w:val="32"/>
                <w:szCs w:val="32"/>
              </w:rPr>
            </w:pPr>
            <w:r>
              <w:rPr>
                <w:rFonts w:hint="eastAsia" w:ascii="仿宋_GB2312"/>
                <w:sz w:val="32"/>
                <w:szCs w:val="32"/>
                <w:lang w:val="en-US" w:eastAsia="zh-CN"/>
              </w:rPr>
              <w:t>15855.48</w:t>
            </w:r>
            <w:r>
              <w:rPr>
                <w:rFonts w:hint="eastAsia" w:ascii="仿宋_GB2312"/>
                <w:sz w:val="32"/>
                <w:szCs w:val="32"/>
              </w:rPr>
              <w:t>㎡</w:t>
            </w:r>
          </w:p>
        </w:tc>
        <w:tc>
          <w:tcPr>
            <w:tcW w:w="3129" w:type="dxa"/>
            <w:shd w:val="clear" w:color="auto" w:fill="auto"/>
            <w:vAlign w:val="center"/>
          </w:tcPr>
          <w:p w14:paraId="016F0975">
            <w:pPr>
              <w:jc w:val="center"/>
              <w:rPr>
                <w:rFonts w:hint="eastAsia" w:eastAsia="仿宋_GB2312" w:asciiTheme="minorHAnsi" w:hAnsiTheme="minorHAnsi" w:cstheme="minorBidi"/>
                <w:kern w:val="2"/>
                <w:sz w:val="24"/>
                <w:szCs w:val="22"/>
                <w:lang w:val="en-US" w:eastAsia="zh-CN" w:bidi="ar-SA"/>
              </w:rPr>
            </w:pPr>
            <w:r>
              <w:rPr>
                <w:rFonts w:hint="eastAsia" w:ascii="仿宋_GB2312"/>
                <w:sz w:val="32"/>
                <w:szCs w:val="32"/>
              </w:rPr>
              <w:t>武汉市卓刀泉北路39号</w:t>
            </w:r>
          </w:p>
        </w:tc>
        <w:tc>
          <w:tcPr>
            <w:tcW w:w="603" w:type="dxa"/>
            <w:shd w:val="clear" w:color="auto" w:fill="auto"/>
            <w:vAlign w:val="center"/>
          </w:tcPr>
          <w:p w14:paraId="72B8088E">
            <w:pPr>
              <w:jc w:val="center"/>
              <w:rPr>
                <w:rFonts w:hint="eastAsia" w:eastAsia="仿宋_GB2312" w:asciiTheme="minorHAnsi" w:hAnsiTheme="minorHAnsi" w:cstheme="minorBidi"/>
                <w:kern w:val="2"/>
                <w:sz w:val="24"/>
                <w:szCs w:val="22"/>
                <w:lang w:val="en-US" w:eastAsia="zh-CN" w:bidi="ar-SA"/>
              </w:rPr>
            </w:pPr>
          </w:p>
        </w:tc>
      </w:tr>
      <w:tr w14:paraId="33D3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14:paraId="1C20D179">
            <w:pPr>
              <w:jc w:val="center"/>
              <w:rPr>
                <w:rFonts w:hint="eastAsia"/>
              </w:rPr>
            </w:pPr>
            <w:r>
              <w:rPr>
                <w:rFonts w:hint="eastAsia" w:ascii="仿宋_GB2312"/>
                <w:sz w:val="32"/>
                <w:szCs w:val="32"/>
              </w:rPr>
              <w:t>2</w:t>
            </w:r>
          </w:p>
        </w:tc>
        <w:tc>
          <w:tcPr>
            <w:tcW w:w="1873" w:type="dxa"/>
            <w:vAlign w:val="center"/>
          </w:tcPr>
          <w:p w14:paraId="7640EAEC">
            <w:pPr>
              <w:jc w:val="center"/>
              <w:rPr>
                <w:rFonts w:hint="eastAsia" w:ascii="仿宋_GB2312"/>
                <w:sz w:val="32"/>
                <w:szCs w:val="32"/>
              </w:rPr>
            </w:pPr>
            <w:r>
              <w:rPr>
                <w:rFonts w:hint="eastAsia" w:ascii="仿宋_GB2312"/>
                <w:sz w:val="32"/>
                <w:szCs w:val="32"/>
              </w:rPr>
              <w:t>丁字桥院区</w:t>
            </w:r>
          </w:p>
        </w:tc>
        <w:tc>
          <w:tcPr>
            <w:tcW w:w="2464" w:type="dxa"/>
            <w:vAlign w:val="center"/>
          </w:tcPr>
          <w:p w14:paraId="2DBAA030">
            <w:pPr>
              <w:jc w:val="center"/>
              <w:rPr>
                <w:rFonts w:hint="eastAsia" w:ascii="仿宋_GB2312"/>
                <w:sz w:val="32"/>
                <w:szCs w:val="32"/>
              </w:rPr>
            </w:pPr>
            <w:r>
              <w:rPr>
                <w:rFonts w:hint="eastAsia" w:ascii="仿宋_GB2312"/>
                <w:sz w:val="32"/>
                <w:szCs w:val="32"/>
                <w:lang w:val="en-US" w:eastAsia="zh-CN"/>
              </w:rPr>
              <w:t>6368.01</w:t>
            </w:r>
            <w:r>
              <w:rPr>
                <w:rFonts w:hint="eastAsia" w:ascii="仿宋_GB2312"/>
                <w:sz w:val="32"/>
                <w:szCs w:val="32"/>
              </w:rPr>
              <w:t>㎡</w:t>
            </w:r>
          </w:p>
        </w:tc>
        <w:tc>
          <w:tcPr>
            <w:tcW w:w="3129" w:type="dxa"/>
            <w:shd w:val="clear" w:color="auto" w:fill="auto"/>
            <w:vAlign w:val="center"/>
          </w:tcPr>
          <w:p w14:paraId="7F00C02E">
            <w:pPr>
              <w:jc w:val="center"/>
              <w:rPr>
                <w:rFonts w:hint="eastAsia" w:eastAsia="仿宋_GB2312" w:asciiTheme="minorHAnsi" w:hAnsiTheme="minorHAnsi" w:cstheme="minorBidi"/>
                <w:kern w:val="2"/>
                <w:sz w:val="24"/>
                <w:szCs w:val="22"/>
                <w:lang w:val="en-US" w:eastAsia="zh-CN" w:bidi="ar-SA"/>
              </w:rPr>
            </w:pPr>
            <w:r>
              <w:rPr>
                <w:rFonts w:hint="eastAsia" w:ascii="仿宋_GB2312"/>
                <w:sz w:val="32"/>
                <w:szCs w:val="32"/>
              </w:rPr>
              <w:t>武汉市丁字桥路60号</w:t>
            </w:r>
          </w:p>
        </w:tc>
        <w:tc>
          <w:tcPr>
            <w:tcW w:w="603" w:type="dxa"/>
            <w:shd w:val="clear" w:color="auto" w:fill="auto"/>
            <w:vAlign w:val="center"/>
          </w:tcPr>
          <w:p w14:paraId="71716AE8">
            <w:pPr>
              <w:jc w:val="center"/>
              <w:rPr>
                <w:rFonts w:hint="eastAsia" w:eastAsia="仿宋_GB2312" w:asciiTheme="minorHAnsi" w:hAnsiTheme="minorHAnsi" w:cstheme="minorBidi"/>
                <w:kern w:val="2"/>
                <w:sz w:val="24"/>
                <w:szCs w:val="22"/>
                <w:lang w:val="en-US" w:eastAsia="zh-CN" w:bidi="ar-SA"/>
              </w:rPr>
            </w:pPr>
          </w:p>
        </w:tc>
      </w:tr>
      <w:tr w14:paraId="5974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14:paraId="2306D742">
            <w:pPr>
              <w:jc w:val="center"/>
              <w:rPr>
                <w:rFonts w:hint="eastAsia"/>
              </w:rPr>
            </w:pPr>
            <w:r>
              <w:rPr>
                <w:rFonts w:hint="eastAsia" w:ascii="仿宋_GB2312"/>
                <w:sz w:val="32"/>
                <w:szCs w:val="32"/>
              </w:rPr>
              <w:t>3</w:t>
            </w:r>
          </w:p>
        </w:tc>
        <w:tc>
          <w:tcPr>
            <w:tcW w:w="1873" w:type="dxa"/>
            <w:vAlign w:val="center"/>
          </w:tcPr>
          <w:p w14:paraId="2E4196AF">
            <w:pPr>
              <w:jc w:val="center"/>
              <w:rPr>
                <w:rFonts w:hint="eastAsia" w:ascii="仿宋_GB2312"/>
                <w:sz w:val="32"/>
                <w:szCs w:val="32"/>
              </w:rPr>
            </w:pPr>
            <w:r>
              <w:rPr>
                <w:rFonts w:hint="eastAsia" w:ascii="仿宋_GB2312"/>
                <w:sz w:val="32"/>
                <w:szCs w:val="32"/>
              </w:rPr>
              <w:t>东湖路院区</w:t>
            </w:r>
          </w:p>
        </w:tc>
        <w:tc>
          <w:tcPr>
            <w:tcW w:w="2464" w:type="dxa"/>
            <w:vAlign w:val="center"/>
          </w:tcPr>
          <w:p w14:paraId="40AF17A3">
            <w:pPr>
              <w:jc w:val="center"/>
              <w:rPr>
                <w:rFonts w:hint="eastAsia" w:ascii="仿宋_GB2312"/>
                <w:sz w:val="32"/>
                <w:szCs w:val="32"/>
              </w:rPr>
            </w:pPr>
            <w:r>
              <w:rPr>
                <w:rFonts w:hint="eastAsia" w:ascii="仿宋_GB2312"/>
                <w:sz w:val="32"/>
                <w:szCs w:val="32"/>
                <w:lang w:val="en-US" w:eastAsia="zh-CN"/>
              </w:rPr>
              <w:t>6724.67</w:t>
            </w:r>
            <w:r>
              <w:rPr>
                <w:rFonts w:hint="eastAsia" w:ascii="仿宋_GB2312"/>
                <w:sz w:val="32"/>
                <w:szCs w:val="32"/>
              </w:rPr>
              <w:t>㎡</w:t>
            </w:r>
          </w:p>
        </w:tc>
        <w:tc>
          <w:tcPr>
            <w:tcW w:w="3129" w:type="dxa"/>
            <w:shd w:val="clear" w:color="auto" w:fill="auto"/>
            <w:vAlign w:val="center"/>
          </w:tcPr>
          <w:p w14:paraId="2F38F3F4">
            <w:pPr>
              <w:jc w:val="center"/>
              <w:rPr>
                <w:rFonts w:hint="eastAsia" w:eastAsia="仿宋_GB2312" w:asciiTheme="minorHAnsi" w:hAnsiTheme="minorHAnsi" w:cstheme="minorBidi"/>
                <w:kern w:val="2"/>
                <w:sz w:val="24"/>
                <w:szCs w:val="22"/>
                <w:lang w:val="en-US" w:eastAsia="zh-CN" w:bidi="ar-SA"/>
              </w:rPr>
            </w:pPr>
            <w:r>
              <w:rPr>
                <w:rFonts w:hint="eastAsia" w:ascii="仿宋_GB2312"/>
                <w:sz w:val="32"/>
                <w:szCs w:val="32"/>
              </w:rPr>
              <w:t>武汉市东湖路168号</w:t>
            </w:r>
          </w:p>
        </w:tc>
        <w:tc>
          <w:tcPr>
            <w:tcW w:w="603" w:type="dxa"/>
            <w:shd w:val="clear" w:color="auto" w:fill="auto"/>
            <w:vAlign w:val="center"/>
          </w:tcPr>
          <w:p w14:paraId="6B5C5787">
            <w:pPr>
              <w:jc w:val="center"/>
              <w:rPr>
                <w:rFonts w:hint="eastAsia" w:eastAsia="仿宋_GB2312" w:asciiTheme="minorHAnsi" w:hAnsiTheme="minorHAnsi" w:cstheme="minorBidi"/>
                <w:kern w:val="2"/>
                <w:sz w:val="24"/>
                <w:szCs w:val="22"/>
                <w:lang w:val="en-US" w:eastAsia="zh-CN" w:bidi="ar-SA"/>
              </w:rPr>
            </w:pPr>
          </w:p>
        </w:tc>
      </w:tr>
      <w:tr w14:paraId="43E7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14:paraId="525AEA0A">
            <w:pPr>
              <w:jc w:val="center"/>
              <w:rPr>
                <w:rFonts w:hint="eastAsia"/>
              </w:rPr>
            </w:pPr>
            <w:r>
              <w:rPr>
                <w:rFonts w:hint="eastAsia" w:ascii="仿宋_GB2312"/>
                <w:sz w:val="32"/>
                <w:szCs w:val="32"/>
              </w:rPr>
              <w:t>4</w:t>
            </w:r>
          </w:p>
        </w:tc>
        <w:tc>
          <w:tcPr>
            <w:tcW w:w="1873" w:type="dxa"/>
            <w:vAlign w:val="center"/>
          </w:tcPr>
          <w:p w14:paraId="192061B8">
            <w:pPr>
              <w:jc w:val="center"/>
              <w:rPr>
                <w:rFonts w:hint="eastAsia" w:ascii="仿宋_GB2312"/>
                <w:sz w:val="32"/>
                <w:szCs w:val="32"/>
              </w:rPr>
            </w:pPr>
            <w:r>
              <w:rPr>
                <w:rFonts w:hint="eastAsia" w:ascii="仿宋_GB2312"/>
                <w:sz w:val="32"/>
                <w:szCs w:val="32"/>
              </w:rPr>
              <w:t>69号楼院区</w:t>
            </w:r>
          </w:p>
        </w:tc>
        <w:tc>
          <w:tcPr>
            <w:tcW w:w="2464" w:type="dxa"/>
            <w:vAlign w:val="center"/>
          </w:tcPr>
          <w:p w14:paraId="166B686A">
            <w:pPr>
              <w:jc w:val="center"/>
              <w:rPr>
                <w:rFonts w:hint="default"/>
                <w:lang w:val="en-US"/>
              </w:rPr>
            </w:pPr>
            <w:r>
              <w:rPr>
                <w:rFonts w:hint="eastAsia" w:ascii="仿宋_GB2312"/>
                <w:sz w:val="32"/>
                <w:szCs w:val="32"/>
                <w:lang w:val="en-US" w:eastAsia="zh-CN"/>
              </w:rPr>
              <w:t>855</w:t>
            </w:r>
            <w:r>
              <w:rPr>
                <w:rFonts w:hint="eastAsia" w:ascii="仿宋_GB2312"/>
                <w:sz w:val="32"/>
                <w:szCs w:val="32"/>
              </w:rPr>
              <w:t>㎡</w:t>
            </w:r>
          </w:p>
        </w:tc>
        <w:tc>
          <w:tcPr>
            <w:tcW w:w="3129" w:type="dxa"/>
            <w:shd w:val="clear" w:color="auto" w:fill="auto"/>
            <w:vAlign w:val="center"/>
          </w:tcPr>
          <w:p w14:paraId="69D29851">
            <w:pPr>
              <w:jc w:val="center"/>
              <w:rPr>
                <w:rFonts w:hint="eastAsia" w:eastAsia="仿宋_GB2312" w:asciiTheme="minorHAnsi" w:hAnsiTheme="minorHAnsi" w:cstheme="minorBidi"/>
                <w:kern w:val="2"/>
                <w:sz w:val="24"/>
                <w:szCs w:val="22"/>
                <w:lang w:val="en-US" w:eastAsia="zh-CN" w:bidi="ar-SA"/>
              </w:rPr>
            </w:pPr>
            <w:r>
              <w:rPr>
                <w:rFonts w:hint="eastAsia" w:ascii="仿宋_GB2312"/>
                <w:sz w:val="32"/>
                <w:szCs w:val="32"/>
              </w:rPr>
              <w:t>武汉市洪山路69号</w:t>
            </w:r>
          </w:p>
        </w:tc>
        <w:tc>
          <w:tcPr>
            <w:tcW w:w="603" w:type="dxa"/>
            <w:shd w:val="clear" w:color="auto" w:fill="auto"/>
            <w:vAlign w:val="center"/>
          </w:tcPr>
          <w:p w14:paraId="76C05EBA">
            <w:pPr>
              <w:jc w:val="center"/>
              <w:rPr>
                <w:rFonts w:hint="eastAsia" w:eastAsia="仿宋_GB2312" w:asciiTheme="minorHAnsi" w:hAnsiTheme="minorHAnsi" w:cstheme="minorBidi"/>
                <w:kern w:val="2"/>
                <w:sz w:val="24"/>
                <w:szCs w:val="22"/>
                <w:lang w:val="en-US" w:eastAsia="zh-CN" w:bidi="ar-SA"/>
              </w:rPr>
            </w:pPr>
          </w:p>
        </w:tc>
      </w:tr>
    </w:tbl>
    <w:p w14:paraId="30DD7D71">
      <w:pPr>
        <w:pStyle w:val="2"/>
        <w:ind w:left="480" w:leftChars="200" w:firstLine="0" w:firstLineChars="0"/>
        <w:rPr>
          <w:rFonts w:hint="eastAsia"/>
          <w:sz w:val="30"/>
          <w:szCs w:val="30"/>
          <w:lang w:val="en-US" w:eastAsia="zh-CN"/>
        </w:rPr>
      </w:pPr>
      <w:r>
        <w:rPr>
          <w:rFonts w:hint="eastAsia"/>
          <w:sz w:val="30"/>
          <w:szCs w:val="30"/>
          <w:lang w:val="en-US" w:eastAsia="zh-CN"/>
        </w:rPr>
        <w:t>注：投标单位应踏勘现场，确保了解实际情况，避免盲目投标。</w:t>
      </w:r>
    </w:p>
    <w:p w14:paraId="1921FB3A">
      <w:pPr>
        <w:pStyle w:val="2"/>
        <w:ind w:left="480" w:leftChars="200" w:firstLine="0" w:firstLineChars="0"/>
        <w:rPr>
          <w:rFonts w:hint="default"/>
          <w:b/>
          <w:bCs/>
          <w:sz w:val="30"/>
          <w:szCs w:val="30"/>
          <w:lang w:val="en-US" w:eastAsia="zh-CN"/>
        </w:rPr>
      </w:pPr>
      <w:r>
        <w:rPr>
          <w:rFonts w:hint="eastAsia"/>
          <w:b/>
          <w:bCs/>
          <w:sz w:val="30"/>
          <w:szCs w:val="30"/>
          <w:lang w:val="en-US" w:eastAsia="zh-CN"/>
        </w:rPr>
        <w:t>该建筑面积的地库、公区等均应包含在内，均属于合同范围。</w:t>
      </w:r>
    </w:p>
    <w:p w14:paraId="5F226A1F">
      <w:pPr>
        <w:pStyle w:val="2"/>
        <w:rPr>
          <w:rFonts w:hint="eastAsia"/>
        </w:rPr>
      </w:pPr>
      <w:r>
        <w:rPr>
          <w:rFonts w:hint="eastAsia"/>
        </w:rPr>
        <w:t>三、合同期限：</w:t>
      </w:r>
      <w:r>
        <w:rPr>
          <w:rFonts w:hint="eastAsia"/>
          <w:u w:val="single"/>
        </w:rPr>
        <w:t>从    年   月   日至   年   月   日</w:t>
      </w:r>
      <w:r>
        <w:rPr>
          <w:rFonts w:hint="eastAsia"/>
        </w:rPr>
        <w:t>。</w:t>
      </w:r>
    </w:p>
    <w:p w14:paraId="4871F19D">
      <w:pPr>
        <w:pStyle w:val="2"/>
        <w:ind w:firstLine="640"/>
        <w:rPr>
          <w:rFonts w:hint="eastAsia"/>
        </w:rPr>
      </w:pPr>
      <w:r>
        <w:rPr>
          <w:rFonts w:hint="eastAsia"/>
        </w:rPr>
        <w:t>四、合同总金额：</w:t>
      </w:r>
    </w:p>
    <w:p w14:paraId="1CC7B603">
      <w:pPr>
        <w:pStyle w:val="2"/>
        <w:ind w:firstLine="640"/>
        <w:rPr>
          <w:rFonts w:hint="eastAsia"/>
          <w:u w:val="single"/>
        </w:rPr>
      </w:pPr>
      <w:r>
        <w:rPr>
          <w:rFonts w:hint="eastAsia"/>
          <w:u w:val="single"/>
          <w:lang w:val="en-US" w:eastAsia="zh-CN"/>
        </w:rPr>
        <w:t xml:space="preserve">小写：        </w:t>
      </w:r>
      <w:r>
        <w:rPr>
          <w:rFonts w:hint="eastAsia"/>
          <w:u w:val="single"/>
        </w:rPr>
        <w:t xml:space="preserve"> 元（大写：</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eastAsia="zh-CN"/>
        </w:rPr>
        <w:t>；</w:t>
      </w:r>
      <w:r>
        <w:rPr>
          <w:rFonts w:hint="eastAsia"/>
          <w:u w:val="single"/>
        </w:rPr>
        <w:t xml:space="preserve"> </w:t>
      </w:r>
    </w:p>
    <w:p w14:paraId="2F88F89A">
      <w:pPr>
        <w:pStyle w:val="2"/>
        <w:ind w:firstLine="640"/>
        <w:rPr>
          <w:rFonts w:hint="default" w:eastAsia="仿宋_GB2312"/>
          <w:lang w:val="en-US" w:eastAsia="zh-CN"/>
        </w:rPr>
      </w:pPr>
      <w:r>
        <w:rPr>
          <w:rFonts w:hint="eastAsia"/>
        </w:rPr>
        <w:t>五、结算方式：</w:t>
      </w:r>
      <w:r>
        <w:rPr>
          <w:rFonts w:hint="eastAsia"/>
          <w:lang w:val="en-US" w:eastAsia="zh-CN"/>
        </w:rPr>
        <w:t>可采用先服务后付费，乙方在2025年11月底，服务内容达到合同约定，甲方将本年度产生的消杀费用进行结算。剩余尾款，乙方以履约保证金方式打到甲方账户，甲方将余款支付乙方，待合同期满后，服务内容达到合同约定，甲方于一个月内将尾款支付乙方。</w:t>
      </w:r>
    </w:p>
    <w:p w14:paraId="6EE06B5F">
      <w:pPr>
        <w:pStyle w:val="2"/>
        <w:ind w:firstLine="640"/>
        <w:rPr>
          <w:rFonts w:hint="eastAsia"/>
        </w:rPr>
      </w:pPr>
      <w:r>
        <w:rPr>
          <w:rFonts w:hint="eastAsia"/>
        </w:rPr>
        <w:t>六、服务方式及标准</w:t>
      </w:r>
    </w:p>
    <w:p w14:paraId="7B6EA5B6">
      <w:pPr>
        <w:pStyle w:val="2"/>
        <w:ind w:firstLine="640"/>
        <w:rPr>
          <w:rFonts w:hint="eastAsia"/>
        </w:rPr>
      </w:pPr>
      <w:r>
        <w:rPr>
          <w:rFonts w:hint="eastAsia"/>
        </w:rPr>
        <w:t>1、由乙方派出经有害生物防治协会颁发上岗证的专业人员对本合同约定的服务范围进行灭鼠、灭蟑螂、灭蝇、灭蚊、灭白蚁服务工作，采用物理防治与化学防治相结合的方式进行。</w:t>
      </w:r>
    </w:p>
    <w:p w14:paraId="08CFCAEE">
      <w:pPr>
        <w:pStyle w:val="2"/>
        <w:ind w:firstLine="640"/>
        <w:rPr>
          <w:rFonts w:hint="eastAsia"/>
        </w:rPr>
      </w:pPr>
      <w:r>
        <w:rPr>
          <w:rFonts w:hint="eastAsia"/>
        </w:rPr>
        <w:t>2、服务标准，按全国爱卫会、湖北省爱国卫生条例除四害标准及要求执行。确保在承包期内服务的项目控制在达标范围内。</w:t>
      </w:r>
    </w:p>
    <w:p w14:paraId="3345CF0E">
      <w:pPr>
        <w:pStyle w:val="2"/>
        <w:ind w:firstLine="640"/>
        <w:rPr>
          <w:rFonts w:hint="eastAsia"/>
        </w:rPr>
      </w:pPr>
      <w:r>
        <w:rPr>
          <w:rFonts w:hint="eastAsia"/>
        </w:rPr>
        <w:t>3、药品使用，乙方所使用药品不污染环境，对人体及宠物等动植物无害，符合国家规定及相关环保室内环境标准。</w:t>
      </w:r>
    </w:p>
    <w:tbl>
      <w:tblPr>
        <w:tblStyle w:val="5"/>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654"/>
        <w:gridCol w:w="866"/>
        <w:gridCol w:w="1121"/>
        <w:gridCol w:w="3331"/>
      </w:tblGrid>
      <w:tr w14:paraId="73D7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auto" w:sz="4" w:space="0"/>
              <w:left w:val="single" w:color="auto" w:sz="4" w:space="0"/>
              <w:bottom w:val="single" w:color="auto" w:sz="4" w:space="0"/>
              <w:right w:val="single" w:color="auto" w:sz="4" w:space="0"/>
            </w:tcBorders>
            <w:vAlign w:val="center"/>
          </w:tcPr>
          <w:p w14:paraId="05679AD4">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序号</w:t>
            </w:r>
          </w:p>
        </w:tc>
        <w:tc>
          <w:tcPr>
            <w:tcW w:w="2654" w:type="dxa"/>
            <w:tcBorders>
              <w:top w:val="single" w:color="auto" w:sz="4" w:space="0"/>
              <w:left w:val="single" w:color="auto" w:sz="4" w:space="0"/>
              <w:bottom w:val="single" w:color="auto" w:sz="4" w:space="0"/>
              <w:right w:val="single" w:color="auto" w:sz="4" w:space="0"/>
            </w:tcBorders>
            <w:vAlign w:val="center"/>
          </w:tcPr>
          <w:p w14:paraId="1B77E8D5">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药品名称</w:t>
            </w:r>
          </w:p>
        </w:tc>
        <w:tc>
          <w:tcPr>
            <w:tcW w:w="866" w:type="dxa"/>
            <w:tcBorders>
              <w:top w:val="single" w:color="auto" w:sz="4" w:space="0"/>
              <w:left w:val="single" w:color="auto" w:sz="4" w:space="0"/>
              <w:bottom w:val="single" w:color="auto" w:sz="4" w:space="0"/>
              <w:right w:val="single" w:color="auto" w:sz="4" w:space="0"/>
            </w:tcBorders>
            <w:vAlign w:val="center"/>
          </w:tcPr>
          <w:p w14:paraId="22EC991D">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防治对象</w:t>
            </w:r>
          </w:p>
        </w:tc>
        <w:tc>
          <w:tcPr>
            <w:tcW w:w="1121" w:type="dxa"/>
            <w:tcBorders>
              <w:top w:val="single" w:color="auto" w:sz="4" w:space="0"/>
              <w:left w:val="single" w:color="auto" w:sz="4" w:space="0"/>
              <w:bottom w:val="single" w:color="auto" w:sz="4" w:space="0"/>
              <w:right w:val="single" w:color="auto" w:sz="4" w:space="0"/>
            </w:tcBorders>
            <w:vAlign w:val="center"/>
          </w:tcPr>
          <w:p w14:paraId="20E95DB4">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使用场地</w:t>
            </w:r>
          </w:p>
        </w:tc>
        <w:tc>
          <w:tcPr>
            <w:tcW w:w="3331" w:type="dxa"/>
            <w:tcBorders>
              <w:top w:val="single" w:color="auto" w:sz="4" w:space="0"/>
              <w:left w:val="single" w:color="auto" w:sz="4" w:space="0"/>
              <w:bottom w:val="single" w:color="auto" w:sz="4" w:space="0"/>
              <w:right w:val="single" w:color="auto" w:sz="4" w:space="0"/>
            </w:tcBorders>
            <w:vAlign w:val="center"/>
          </w:tcPr>
          <w:p w14:paraId="3A6EF725">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生产厂家</w:t>
            </w:r>
          </w:p>
        </w:tc>
      </w:tr>
      <w:tr w14:paraId="2B7B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auto" w:sz="4" w:space="0"/>
              <w:left w:val="single" w:color="auto" w:sz="4" w:space="0"/>
              <w:bottom w:val="single" w:color="auto" w:sz="4" w:space="0"/>
              <w:right w:val="single" w:color="auto" w:sz="4" w:space="0"/>
            </w:tcBorders>
            <w:vAlign w:val="center"/>
          </w:tcPr>
          <w:p w14:paraId="35152380">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1</w:t>
            </w:r>
          </w:p>
        </w:tc>
        <w:tc>
          <w:tcPr>
            <w:tcW w:w="2654" w:type="dxa"/>
            <w:tcBorders>
              <w:top w:val="single" w:color="auto" w:sz="4" w:space="0"/>
              <w:left w:val="single" w:color="auto" w:sz="4" w:space="0"/>
              <w:bottom w:val="single" w:color="auto" w:sz="4" w:space="0"/>
              <w:right w:val="single" w:color="auto" w:sz="4" w:space="0"/>
            </w:tcBorders>
            <w:vAlign w:val="center"/>
          </w:tcPr>
          <w:p w14:paraId="543912FA">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0.005%氟鼠灵毒饵</w:t>
            </w:r>
          </w:p>
        </w:tc>
        <w:tc>
          <w:tcPr>
            <w:tcW w:w="866" w:type="dxa"/>
            <w:tcBorders>
              <w:top w:val="single" w:color="auto" w:sz="4" w:space="0"/>
              <w:left w:val="single" w:color="auto" w:sz="4" w:space="0"/>
              <w:bottom w:val="single" w:color="auto" w:sz="4" w:space="0"/>
              <w:right w:val="single" w:color="auto" w:sz="4" w:space="0"/>
            </w:tcBorders>
            <w:vAlign w:val="center"/>
          </w:tcPr>
          <w:p w14:paraId="02481BE9">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鼠</w:t>
            </w:r>
          </w:p>
        </w:tc>
        <w:tc>
          <w:tcPr>
            <w:tcW w:w="1121" w:type="dxa"/>
            <w:tcBorders>
              <w:top w:val="single" w:color="auto" w:sz="4" w:space="0"/>
              <w:left w:val="single" w:color="auto" w:sz="4" w:space="0"/>
              <w:bottom w:val="single" w:color="auto" w:sz="4" w:space="0"/>
              <w:right w:val="single" w:color="auto" w:sz="4" w:space="0"/>
            </w:tcBorders>
            <w:vAlign w:val="center"/>
          </w:tcPr>
          <w:p w14:paraId="2E7D9EF6">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室</w:t>
            </w:r>
            <w:bookmarkStart w:id="1" w:name="OLE_LINK3"/>
            <w:r>
              <w:rPr>
                <w:rFonts w:hint="eastAsia" w:ascii="仿宋_GB2312" w:hAnsi="仿宋_GB2312" w:eastAsia="仿宋_GB2312" w:cs="仿宋_GB2312"/>
                <w:kern w:val="2"/>
                <w:sz w:val="32"/>
                <w:szCs w:val="24"/>
                <w:lang w:val="en-US" w:eastAsia="zh-CN" w:bidi="ar-SA"/>
              </w:rPr>
              <w:t>内</w:t>
            </w:r>
            <w:bookmarkEnd w:id="1"/>
            <w:r>
              <w:rPr>
                <w:rFonts w:hint="eastAsia" w:ascii="仿宋_GB2312" w:hAnsi="仿宋_GB2312" w:eastAsia="仿宋_GB2312" w:cs="仿宋_GB2312"/>
                <w:kern w:val="2"/>
                <w:sz w:val="32"/>
                <w:szCs w:val="24"/>
                <w:lang w:val="en-US" w:eastAsia="zh-CN" w:bidi="ar-SA"/>
              </w:rPr>
              <w:t>、外</w:t>
            </w:r>
          </w:p>
        </w:tc>
        <w:tc>
          <w:tcPr>
            <w:tcW w:w="3331" w:type="dxa"/>
            <w:tcBorders>
              <w:top w:val="single" w:color="auto" w:sz="4" w:space="0"/>
              <w:left w:val="single" w:color="auto" w:sz="4" w:space="0"/>
              <w:bottom w:val="single" w:color="auto" w:sz="4" w:space="0"/>
              <w:right w:val="single" w:color="auto" w:sz="4" w:space="0"/>
            </w:tcBorders>
            <w:vAlign w:val="center"/>
          </w:tcPr>
          <w:p w14:paraId="4B693A8F">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巴斯夫欧洲公司</w:t>
            </w:r>
          </w:p>
        </w:tc>
      </w:tr>
      <w:tr w14:paraId="13CB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auto" w:sz="4" w:space="0"/>
              <w:left w:val="single" w:color="auto" w:sz="4" w:space="0"/>
              <w:bottom w:val="single" w:color="auto" w:sz="4" w:space="0"/>
              <w:right w:val="single" w:color="auto" w:sz="4" w:space="0"/>
            </w:tcBorders>
            <w:vAlign w:val="center"/>
          </w:tcPr>
          <w:p w14:paraId="2D9CAAAC">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2</w:t>
            </w:r>
          </w:p>
        </w:tc>
        <w:tc>
          <w:tcPr>
            <w:tcW w:w="2654" w:type="dxa"/>
            <w:tcBorders>
              <w:top w:val="single" w:color="auto" w:sz="4" w:space="0"/>
              <w:left w:val="single" w:color="auto" w:sz="4" w:space="0"/>
              <w:bottom w:val="single" w:color="auto" w:sz="4" w:space="0"/>
              <w:right w:val="single" w:color="auto" w:sz="4" w:space="0"/>
            </w:tcBorders>
            <w:vAlign w:val="center"/>
          </w:tcPr>
          <w:p w14:paraId="47482BE5">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拜乐杀蟑胶饵</w:t>
            </w:r>
          </w:p>
        </w:tc>
        <w:tc>
          <w:tcPr>
            <w:tcW w:w="866" w:type="dxa"/>
            <w:tcBorders>
              <w:top w:val="single" w:color="auto" w:sz="4" w:space="0"/>
              <w:left w:val="single" w:color="auto" w:sz="4" w:space="0"/>
              <w:bottom w:val="single" w:color="auto" w:sz="4" w:space="0"/>
              <w:right w:val="single" w:color="auto" w:sz="4" w:space="0"/>
            </w:tcBorders>
            <w:vAlign w:val="center"/>
          </w:tcPr>
          <w:p w14:paraId="5B76A11A">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蟑螂</w:t>
            </w:r>
          </w:p>
        </w:tc>
        <w:tc>
          <w:tcPr>
            <w:tcW w:w="1121" w:type="dxa"/>
            <w:tcBorders>
              <w:top w:val="single" w:color="auto" w:sz="4" w:space="0"/>
              <w:left w:val="single" w:color="auto" w:sz="4" w:space="0"/>
              <w:bottom w:val="single" w:color="auto" w:sz="4" w:space="0"/>
              <w:right w:val="single" w:color="auto" w:sz="4" w:space="0"/>
            </w:tcBorders>
            <w:vAlign w:val="center"/>
          </w:tcPr>
          <w:p w14:paraId="63C9C35E">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室内</w:t>
            </w:r>
          </w:p>
        </w:tc>
        <w:tc>
          <w:tcPr>
            <w:tcW w:w="3331" w:type="dxa"/>
            <w:tcBorders>
              <w:top w:val="single" w:color="auto" w:sz="4" w:space="0"/>
              <w:left w:val="single" w:color="auto" w:sz="4" w:space="0"/>
              <w:bottom w:val="single" w:color="auto" w:sz="4" w:space="0"/>
              <w:right w:val="single" w:color="auto" w:sz="4" w:space="0"/>
            </w:tcBorders>
            <w:vAlign w:val="center"/>
          </w:tcPr>
          <w:p w14:paraId="3B1790BB">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武汉市拜乐卫生科技</w:t>
            </w:r>
          </w:p>
        </w:tc>
      </w:tr>
      <w:tr w14:paraId="2486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auto" w:sz="4" w:space="0"/>
              <w:left w:val="single" w:color="auto" w:sz="4" w:space="0"/>
              <w:bottom w:val="single" w:color="auto" w:sz="4" w:space="0"/>
              <w:right w:val="single" w:color="auto" w:sz="4" w:space="0"/>
            </w:tcBorders>
            <w:vAlign w:val="center"/>
          </w:tcPr>
          <w:p w14:paraId="18406533">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3</w:t>
            </w:r>
          </w:p>
        </w:tc>
        <w:tc>
          <w:tcPr>
            <w:tcW w:w="2654" w:type="dxa"/>
            <w:tcBorders>
              <w:top w:val="single" w:color="auto" w:sz="4" w:space="0"/>
              <w:left w:val="single" w:color="auto" w:sz="4" w:space="0"/>
              <w:bottom w:val="single" w:color="auto" w:sz="4" w:space="0"/>
              <w:right w:val="single" w:color="auto" w:sz="4" w:space="0"/>
            </w:tcBorders>
            <w:vAlign w:val="center"/>
          </w:tcPr>
          <w:p w14:paraId="3417853C">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5%氯菊酯·四氟醚菊酯水乳剂</w:t>
            </w:r>
          </w:p>
        </w:tc>
        <w:tc>
          <w:tcPr>
            <w:tcW w:w="866" w:type="dxa"/>
            <w:tcBorders>
              <w:top w:val="single" w:color="auto" w:sz="4" w:space="0"/>
              <w:left w:val="single" w:color="auto" w:sz="4" w:space="0"/>
              <w:bottom w:val="single" w:color="auto" w:sz="4" w:space="0"/>
              <w:right w:val="single" w:color="auto" w:sz="4" w:space="0"/>
            </w:tcBorders>
            <w:vAlign w:val="center"/>
          </w:tcPr>
          <w:p w14:paraId="0179A665">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蚊蝇、飞虫</w:t>
            </w:r>
          </w:p>
        </w:tc>
        <w:tc>
          <w:tcPr>
            <w:tcW w:w="1121" w:type="dxa"/>
            <w:tcBorders>
              <w:top w:val="single" w:color="auto" w:sz="4" w:space="0"/>
              <w:left w:val="single" w:color="auto" w:sz="4" w:space="0"/>
              <w:bottom w:val="single" w:color="auto" w:sz="4" w:space="0"/>
              <w:right w:val="single" w:color="auto" w:sz="4" w:space="0"/>
            </w:tcBorders>
            <w:vAlign w:val="center"/>
          </w:tcPr>
          <w:p w14:paraId="587782FE">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室内</w:t>
            </w:r>
          </w:p>
        </w:tc>
        <w:tc>
          <w:tcPr>
            <w:tcW w:w="3331" w:type="dxa"/>
            <w:tcBorders>
              <w:top w:val="single" w:color="auto" w:sz="4" w:space="0"/>
              <w:left w:val="single" w:color="auto" w:sz="4" w:space="0"/>
              <w:bottom w:val="single" w:color="auto" w:sz="4" w:space="0"/>
              <w:right w:val="single" w:color="auto" w:sz="4" w:space="0"/>
            </w:tcBorders>
            <w:vAlign w:val="center"/>
          </w:tcPr>
          <w:p w14:paraId="03359870">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江苏优嘉植物保护有限公司</w:t>
            </w:r>
          </w:p>
        </w:tc>
      </w:tr>
      <w:tr w14:paraId="060A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auto" w:sz="4" w:space="0"/>
              <w:left w:val="single" w:color="auto" w:sz="4" w:space="0"/>
              <w:bottom w:val="single" w:color="auto" w:sz="4" w:space="0"/>
              <w:right w:val="single" w:color="auto" w:sz="4" w:space="0"/>
            </w:tcBorders>
            <w:vAlign w:val="center"/>
          </w:tcPr>
          <w:p w14:paraId="16BC72E0">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4</w:t>
            </w:r>
          </w:p>
        </w:tc>
        <w:tc>
          <w:tcPr>
            <w:tcW w:w="2654" w:type="dxa"/>
            <w:tcBorders>
              <w:top w:val="single" w:color="auto" w:sz="4" w:space="0"/>
              <w:left w:val="single" w:color="auto" w:sz="4" w:space="0"/>
              <w:bottom w:val="single" w:color="auto" w:sz="4" w:space="0"/>
              <w:right w:val="single" w:color="auto" w:sz="4" w:space="0"/>
            </w:tcBorders>
            <w:vAlign w:val="center"/>
          </w:tcPr>
          <w:tbl>
            <w:tblPr>
              <w:tblStyle w:val="4"/>
              <w:tblW w:w="0" w:type="auto"/>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640"/>
            </w:tblGrid>
            <w:tr w14:paraId="5669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8640" w:type="dxa"/>
                  <w:shd w:val="clear" w:color="auto" w:fill="FFFFFF"/>
                  <w:tcMar>
                    <w:top w:w="150" w:type="dxa"/>
                    <w:left w:w="150" w:type="dxa"/>
                    <w:bottom w:w="150" w:type="dxa"/>
                    <w:right w:w="150" w:type="dxa"/>
                  </w:tcMar>
                  <w:vAlign w:val="center"/>
                </w:tcPr>
                <w:p w14:paraId="41228642">
                  <w:pPr>
                    <w:tabs>
                      <w:tab w:val="left" w:pos="571"/>
                      <w:tab w:val="center" w:pos="4230"/>
                    </w:tabs>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2.5%高效氯氟氰菊酯</w:t>
                  </w:r>
                </w:p>
              </w:tc>
            </w:tr>
          </w:tbl>
          <w:p w14:paraId="55DF5452">
            <w:pPr>
              <w:jc w:val="both"/>
              <w:rPr>
                <w:rFonts w:hint="eastAsia" w:ascii="仿宋_GB2312" w:hAnsi="仿宋_GB2312" w:eastAsia="仿宋_GB2312" w:cs="仿宋_GB2312"/>
                <w:kern w:val="2"/>
                <w:sz w:val="32"/>
                <w:szCs w:val="24"/>
                <w:lang w:val="en-US" w:eastAsia="zh-CN" w:bidi="ar-SA"/>
              </w:rPr>
            </w:pPr>
          </w:p>
        </w:tc>
        <w:tc>
          <w:tcPr>
            <w:tcW w:w="866" w:type="dxa"/>
            <w:tcBorders>
              <w:top w:val="single" w:color="auto" w:sz="4" w:space="0"/>
              <w:left w:val="single" w:color="auto" w:sz="4" w:space="0"/>
              <w:bottom w:val="single" w:color="auto" w:sz="4" w:space="0"/>
              <w:right w:val="single" w:color="auto" w:sz="4" w:space="0"/>
            </w:tcBorders>
            <w:vAlign w:val="center"/>
          </w:tcPr>
          <w:p w14:paraId="34A5D4A8">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蚊蝇、飞</w:t>
            </w:r>
          </w:p>
        </w:tc>
        <w:tc>
          <w:tcPr>
            <w:tcW w:w="1121" w:type="dxa"/>
            <w:tcBorders>
              <w:top w:val="single" w:color="auto" w:sz="4" w:space="0"/>
              <w:left w:val="single" w:color="auto" w:sz="4" w:space="0"/>
              <w:bottom w:val="single" w:color="auto" w:sz="4" w:space="0"/>
              <w:right w:val="single" w:color="auto" w:sz="4" w:space="0"/>
            </w:tcBorders>
            <w:vAlign w:val="center"/>
          </w:tcPr>
          <w:p w14:paraId="47BC609F">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室内外</w:t>
            </w:r>
          </w:p>
        </w:tc>
        <w:tc>
          <w:tcPr>
            <w:tcW w:w="3331" w:type="dxa"/>
            <w:tcBorders>
              <w:top w:val="single" w:color="auto" w:sz="4" w:space="0"/>
              <w:left w:val="single" w:color="auto" w:sz="4" w:space="0"/>
              <w:bottom w:val="single" w:color="auto" w:sz="4" w:space="0"/>
              <w:right w:val="single" w:color="auto" w:sz="4" w:space="0"/>
            </w:tcBorders>
            <w:vAlign w:val="center"/>
          </w:tcPr>
          <w:p w14:paraId="451FF104">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江苏优嘉植物保护有限公司</w:t>
            </w:r>
          </w:p>
        </w:tc>
      </w:tr>
      <w:tr w14:paraId="6332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auto" w:sz="4" w:space="0"/>
              <w:left w:val="single" w:color="auto" w:sz="4" w:space="0"/>
              <w:bottom w:val="single" w:color="auto" w:sz="4" w:space="0"/>
              <w:right w:val="single" w:color="auto" w:sz="4" w:space="0"/>
            </w:tcBorders>
            <w:vAlign w:val="center"/>
          </w:tcPr>
          <w:p w14:paraId="4C88A50E">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5</w:t>
            </w:r>
          </w:p>
        </w:tc>
        <w:tc>
          <w:tcPr>
            <w:tcW w:w="2654" w:type="dxa"/>
            <w:tcBorders>
              <w:top w:val="single" w:color="auto" w:sz="4" w:space="0"/>
              <w:left w:val="single" w:color="auto" w:sz="4" w:space="0"/>
              <w:bottom w:val="single" w:color="auto" w:sz="4" w:space="0"/>
              <w:right w:val="single" w:color="auto" w:sz="4" w:space="0"/>
            </w:tcBorders>
            <w:vAlign w:val="center"/>
          </w:tcPr>
          <w:p w14:paraId="19699328">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1%双硫磷颗粒剂</w:t>
            </w:r>
          </w:p>
        </w:tc>
        <w:tc>
          <w:tcPr>
            <w:tcW w:w="866" w:type="dxa"/>
            <w:tcBorders>
              <w:top w:val="single" w:color="auto" w:sz="4" w:space="0"/>
              <w:left w:val="single" w:color="auto" w:sz="4" w:space="0"/>
              <w:bottom w:val="single" w:color="auto" w:sz="4" w:space="0"/>
              <w:right w:val="single" w:color="auto" w:sz="4" w:space="0"/>
            </w:tcBorders>
            <w:vAlign w:val="center"/>
          </w:tcPr>
          <w:p w14:paraId="4E028FD5">
            <w:pPr>
              <w:jc w:val="center"/>
              <w:rPr>
                <w:rFonts w:hint="eastAsia" w:ascii="仿宋_GB2312" w:hAnsi="仿宋_GB2312" w:eastAsia="仿宋_GB2312" w:cs="仿宋_GB2312"/>
                <w:kern w:val="2"/>
                <w:sz w:val="32"/>
                <w:szCs w:val="24"/>
                <w:lang w:val="en-US" w:eastAsia="zh-CN" w:bidi="ar-SA"/>
              </w:rPr>
            </w:pPr>
            <w:bookmarkStart w:id="2" w:name="OLE_LINK1"/>
            <w:r>
              <w:rPr>
                <w:rFonts w:hint="eastAsia" w:ascii="仿宋_GB2312" w:hAnsi="仿宋_GB2312" w:eastAsia="仿宋_GB2312" w:cs="仿宋_GB2312"/>
                <w:kern w:val="2"/>
                <w:sz w:val="32"/>
                <w:szCs w:val="24"/>
                <w:lang w:val="en-US" w:eastAsia="zh-CN" w:bidi="ar-SA"/>
              </w:rPr>
              <w:t>蚊蝇、飞虫</w:t>
            </w:r>
            <w:bookmarkEnd w:id="2"/>
          </w:p>
        </w:tc>
        <w:tc>
          <w:tcPr>
            <w:tcW w:w="1121" w:type="dxa"/>
            <w:tcBorders>
              <w:top w:val="single" w:color="auto" w:sz="4" w:space="0"/>
              <w:left w:val="single" w:color="auto" w:sz="4" w:space="0"/>
              <w:bottom w:val="single" w:color="auto" w:sz="4" w:space="0"/>
              <w:right w:val="single" w:color="auto" w:sz="4" w:space="0"/>
            </w:tcBorders>
            <w:vAlign w:val="center"/>
          </w:tcPr>
          <w:p w14:paraId="7DF2689F">
            <w:pPr>
              <w:jc w:val="center"/>
              <w:rPr>
                <w:rFonts w:hint="default" w:ascii="仿宋_GB2312" w:hAnsi="仿宋_GB2312" w:eastAsia="仿宋_GB2312" w:cs="仿宋_GB2312"/>
                <w:kern w:val="2"/>
                <w:sz w:val="32"/>
                <w:szCs w:val="24"/>
                <w:lang w:val="en-US" w:eastAsia="zh-CN" w:bidi="ar-SA"/>
              </w:rPr>
            </w:pPr>
            <w:bookmarkStart w:id="3" w:name="OLE_LINK2"/>
            <w:r>
              <w:rPr>
                <w:rFonts w:hint="eastAsia" w:ascii="仿宋_GB2312" w:hAnsi="仿宋_GB2312" w:eastAsia="仿宋_GB2312" w:cs="仿宋_GB2312"/>
                <w:kern w:val="2"/>
                <w:sz w:val="32"/>
                <w:szCs w:val="24"/>
                <w:lang w:val="en-US" w:eastAsia="zh-CN" w:bidi="ar-SA"/>
              </w:rPr>
              <w:t>室外</w:t>
            </w:r>
            <w:bookmarkEnd w:id="3"/>
            <w:r>
              <w:rPr>
                <w:rFonts w:hint="eastAsia" w:ascii="仿宋_GB2312" w:hAnsi="仿宋_GB2312" w:eastAsia="仿宋_GB2312" w:cs="仿宋_GB2312"/>
                <w:kern w:val="2"/>
                <w:sz w:val="32"/>
                <w:szCs w:val="24"/>
                <w:lang w:val="en-US" w:eastAsia="zh-CN" w:bidi="ar-SA"/>
              </w:rPr>
              <w:t xml:space="preserve">蚊蝇孳生地         </w:t>
            </w:r>
          </w:p>
        </w:tc>
        <w:tc>
          <w:tcPr>
            <w:tcW w:w="3331" w:type="dxa"/>
            <w:tcBorders>
              <w:top w:val="single" w:color="auto" w:sz="4" w:space="0"/>
              <w:left w:val="single" w:color="auto" w:sz="4" w:space="0"/>
              <w:bottom w:val="single" w:color="auto" w:sz="4" w:space="0"/>
              <w:right w:val="single" w:color="auto" w:sz="4" w:space="0"/>
            </w:tcBorders>
            <w:vAlign w:val="center"/>
          </w:tcPr>
          <w:p w14:paraId="59729C5E">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上海生农生化制品有限公司</w:t>
            </w:r>
          </w:p>
        </w:tc>
      </w:tr>
    </w:tbl>
    <w:p w14:paraId="094A143A">
      <w:pPr>
        <w:pStyle w:val="2"/>
        <w:ind w:firstLine="640"/>
        <w:rPr>
          <w:rFonts w:hint="eastAsia"/>
        </w:rPr>
      </w:pPr>
      <w:r>
        <w:rPr>
          <w:rFonts w:hint="eastAsia"/>
        </w:rPr>
        <w:t>七、服务要求</w:t>
      </w:r>
    </w:p>
    <w:p w14:paraId="2C3996D5">
      <w:pPr>
        <w:pStyle w:val="2"/>
        <w:ind w:firstLine="640"/>
        <w:rPr>
          <w:rFonts w:hint="eastAsia"/>
        </w:rPr>
      </w:pPr>
      <w:r>
        <w:rPr>
          <w:rFonts w:hint="eastAsia"/>
        </w:rPr>
        <w:t>1.在承包期内甲方应配合乙方工作，每次灭鼠灭虫甲方派人陪同，并协助管理。</w:t>
      </w:r>
    </w:p>
    <w:p w14:paraId="5E5D1954">
      <w:pPr>
        <w:pStyle w:val="2"/>
        <w:ind w:firstLine="640"/>
        <w:rPr>
          <w:rFonts w:hint="eastAsia"/>
        </w:rPr>
      </w:pPr>
      <w:r>
        <w:rPr>
          <w:rFonts w:hint="eastAsia"/>
        </w:rPr>
        <w:t>2.</w:t>
      </w:r>
      <w:r>
        <w:rPr>
          <w:rFonts w:hint="eastAsia"/>
          <w:lang w:val="en-US" w:eastAsia="zh-CN"/>
        </w:rPr>
        <w:t>消杀工作</w:t>
      </w:r>
      <w:r>
        <w:rPr>
          <w:rFonts w:hint="eastAsia"/>
        </w:rPr>
        <w:t>乙方5月-10月份每月至少上门服务4次</w:t>
      </w:r>
      <w:r>
        <w:rPr>
          <w:rFonts w:hint="eastAsia"/>
          <w:lang w:eastAsia="zh-CN"/>
        </w:rPr>
        <w:t>（其中</w:t>
      </w:r>
      <w:r>
        <w:rPr>
          <w:rFonts w:hint="eastAsia"/>
          <w:lang w:val="en-US" w:eastAsia="zh-CN"/>
        </w:rPr>
        <w:t>7月-9月蚊虫较多时，乙方因根据甲方要求，增加上门服务次数，额外增加次数不超过每月4次），</w:t>
      </w:r>
      <w:r>
        <w:rPr>
          <w:rFonts w:hint="eastAsia"/>
        </w:rPr>
        <w:t>11月-次年4月份每月至少上门服务2次</w:t>
      </w:r>
      <w:r>
        <w:rPr>
          <w:rFonts w:hint="eastAsia"/>
          <w:lang w:eastAsia="zh-CN"/>
        </w:rPr>
        <w:t>。</w:t>
      </w:r>
      <w:r>
        <w:rPr>
          <w:rFonts w:hint="eastAsia"/>
          <w:lang w:val="en-US" w:eastAsia="zh-CN"/>
        </w:rPr>
        <w:t>白蚁防治，每年4月至10月，每个月服务两次，11月至次年3月，每个月服务1次。</w:t>
      </w:r>
      <w:bookmarkStart w:id="4" w:name="_GoBack"/>
      <w:bookmarkEnd w:id="4"/>
      <w:r>
        <w:rPr>
          <w:rFonts w:hint="eastAsia"/>
          <w:lang w:val="en-US" w:eastAsia="zh-CN"/>
        </w:rPr>
        <w:t>消杀、白蚁防治工作，各院区应根据蚊虫数量、实际情况、甲方要求等适当增加次数，以确保工作、生活的正常进行。消杀工作、</w:t>
      </w:r>
      <w:r>
        <w:rPr>
          <w:rFonts w:hint="eastAsia"/>
        </w:rPr>
        <w:t>除白蚁等服务时在物业作好登记并留</w:t>
      </w:r>
      <w:r>
        <w:rPr>
          <w:rFonts w:hint="eastAsia"/>
          <w:lang w:val="en-US" w:eastAsia="zh-CN"/>
        </w:rPr>
        <w:t>好</w:t>
      </w:r>
      <w:r>
        <w:rPr>
          <w:rFonts w:hint="eastAsia"/>
        </w:rPr>
        <w:t>影像资料，作为结算依据。</w:t>
      </w:r>
    </w:p>
    <w:p w14:paraId="085C4684">
      <w:pPr>
        <w:pStyle w:val="2"/>
        <w:ind w:firstLine="640"/>
        <w:rPr>
          <w:rFonts w:hint="eastAsia"/>
        </w:rPr>
      </w:pPr>
      <w:r>
        <w:rPr>
          <w:rFonts w:hint="eastAsia"/>
        </w:rPr>
        <w:t>3、所服务的项目，应有灭鼠、灭虫，现场鼠、虫密度检测记录。合同期间灭鼠、灭虫服务频次约定为每月2次，以后根据鼠害、虫害突发次数和杀灭效果增加或减少灭鼠、灭虫次数，甲方以考查实际灭鼠、灭虫效果为主，现场鼠、虫密度检测频次多少与灭鼠、灭虫费用无关。</w:t>
      </w:r>
    </w:p>
    <w:p w14:paraId="17C81CE0">
      <w:pPr>
        <w:pStyle w:val="2"/>
        <w:ind w:firstLine="640"/>
        <w:rPr>
          <w:rFonts w:hint="eastAsia"/>
        </w:rPr>
      </w:pPr>
      <w:r>
        <w:rPr>
          <w:rFonts w:hint="eastAsia"/>
        </w:rPr>
        <w:t>4、本合同签订生效后，乙方在一星期内到甲方所属地段开展全面的电子捕鼠、灭虫或其它物理器械灭鼠、灭虫，如特制鼠笼、特制击鼠器、特制粘鼠板、电子灭虫器等物理器械或在卫健委办公楼外围的院内沟道或绿化带投放抗凝血慢性灭鼠饵料、喷洒灭虫药物，预防外围的老鼠、蚊蝇等向室内入侵。直到控制甲方所属地段的鼠害虫害为止。</w:t>
      </w:r>
    </w:p>
    <w:p w14:paraId="4C7BEBC9">
      <w:pPr>
        <w:pStyle w:val="2"/>
        <w:ind w:firstLine="640"/>
        <w:rPr>
          <w:rFonts w:hint="eastAsia"/>
        </w:rPr>
      </w:pPr>
      <w:r>
        <w:rPr>
          <w:rFonts w:hint="eastAsia"/>
        </w:rPr>
        <w:t>5、乙方对所采用的多种灭鼠、灭虫方法的安全性和灭鼠、灭虫效果负责。并承担因用饵料、器械或消杀药品灭鼠、灭虫所产生的不安全因素对甲方人体造成伤害的赔偿责任和法律责任(以上须经国家权威部门鉴定)。</w:t>
      </w:r>
    </w:p>
    <w:p w14:paraId="7C2667BA">
      <w:pPr>
        <w:pStyle w:val="2"/>
        <w:ind w:firstLine="640"/>
        <w:rPr>
          <w:rFonts w:hint="eastAsia"/>
        </w:rPr>
      </w:pPr>
      <w:r>
        <w:rPr>
          <w:rFonts w:hint="eastAsia"/>
        </w:rPr>
        <w:t>6、在执行合同过程中，乙方服务施工人员必须严格遵守甲方单位的各项规章制度，不准吸烟，不准喧哗做到安全操作，文明施工。</w:t>
      </w:r>
    </w:p>
    <w:p w14:paraId="5881C44B">
      <w:pPr>
        <w:pStyle w:val="2"/>
        <w:ind w:firstLine="640"/>
        <w:rPr>
          <w:rFonts w:hint="eastAsia"/>
        </w:rPr>
      </w:pPr>
      <w:r>
        <w:rPr>
          <w:rFonts w:hint="eastAsia"/>
        </w:rPr>
        <w:t>7、在执行合同期限内，每次灭鼠施工不得影响甲方的正常办公或经营环境，不损坏甲方任何设施，否则照价赔偿。</w:t>
      </w:r>
    </w:p>
    <w:p w14:paraId="1D28FDD4">
      <w:pPr>
        <w:pStyle w:val="2"/>
        <w:ind w:firstLine="640"/>
        <w:rPr>
          <w:rFonts w:hint="eastAsia"/>
        </w:rPr>
      </w:pPr>
      <w:r>
        <w:rPr>
          <w:rFonts w:hint="eastAsia"/>
        </w:rPr>
        <w:t>8、上岗服务人员要严格遵守灭鼠技术操作规程，文明作业。并填写灭鼠服务记录卡(单）作为当次服务的凭据，着统一工作服和佩戴上岗证。</w:t>
      </w:r>
    </w:p>
    <w:p w14:paraId="6F3DE395">
      <w:pPr>
        <w:pStyle w:val="2"/>
        <w:ind w:firstLine="640"/>
        <w:rPr>
          <w:rFonts w:hint="eastAsia"/>
        </w:rPr>
      </w:pPr>
      <w:r>
        <w:rPr>
          <w:rFonts w:hint="eastAsia"/>
        </w:rPr>
        <w:t>9、在合同期内所服务的项目属下列情况之一未能达标的，应负处罚责任：</w:t>
      </w:r>
    </w:p>
    <w:p w14:paraId="2B005695">
      <w:pPr>
        <w:pStyle w:val="2"/>
        <w:ind w:firstLine="640"/>
        <w:rPr>
          <w:rFonts w:hint="eastAsia"/>
        </w:rPr>
      </w:pPr>
      <w:r>
        <w:rPr>
          <w:rFonts w:hint="eastAsia"/>
          <w:lang w:val="en-US" w:eastAsia="zh-CN"/>
        </w:rPr>
        <w:t xml:space="preserve"> ①</w:t>
      </w:r>
      <w:r>
        <w:rPr>
          <w:rFonts w:hint="eastAsia"/>
        </w:rPr>
        <w:t>鼠害给防治区域造成损失的，由乙方负责50%的赔偿费用。</w:t>
      </w:r>
    </w:p>
    <w:p w14:paraId="24EBDA96">
      <w:pPr>
        <w:pStyle w:val="2"/>
        <w:ind w:firstLine="640"/>
        <w:rPr>
          <w:rFonts w:hint="eastAsia"/>
        </w:rPr>
      </w:pPr>
      <w:r>
        <w:rPr>
          <w:rFonts w:hint="eastAsia"/>
        </w:rPr>
        <w:t>②灭蟑螂未达到标准，发现后处理不及时每次扣款200元。</w:t>
      </w:r>
    </w:p>
    <w:p w14:paraId="54D388EF">
      <w:pPr>
        <w:pStyle w:val="2"/>
        <w:ind w:firstLine="640"/>
        <w:rPr>
          <w:rFonts w:hint="eastAsia"/>
        </w:rPr>
      </w:pPr>
      <w:r>
        <w:rPr>
          <w:rFonts w:hint="eastAsia"/>
        </w:rPr>
        <w:t>③灭蝇未达到标准，发现后处理不及时每次扣款200元。</w:t>
      </w:r>
    </w:p>
    <w:p w14:paraId="4873B63E">
      <w:pPr>
        <w:pStyle w:val="2"/>
        <w:ind w:firstLine="640"/>
        <w:rPr>
          <w:rFonts w:hint="eastAsia"/>
        </w:rPr>
      </w:pPr>
      <w:r>
        <w:rPr>
          <w:rFonts w:hint="eastAsia"/>
        </w:rPr>
        <w:t>④灭蚊未达到标准，发现后处理不及时每次扣款200元。</w:t>
      </w:r>
    </w:p>
    <w:p w14:paraId="36527967">
      <w:pPr>
        <w:pStyle w:val="2"/>
        <w:ind w:firstLine="640"/>
        <w:rPr>
          <w:rFonts w:hint="eastAsia"/>
        </w:rPr>
      </w:pPr>
      <w:r>
        <w:rPr>
          <w:rFonts w:hint="eastAsia"/>
        </w:rPr>
        <w:t>⑤每月服务次数未达标时，缺一次扣款300元，累计达到3次时，甲方有权解除合同，并根据实际服务次数进行结算，所造成的损失由乙方负责。</w:t>
      </w:r>
    </w:p>
    <w:p w14:paraId="57AB9226">
      <w:pPr>
        <w:pStyle w:val="2"/>
        <w:ind w:firstLine="640"/>
        <w:rPr>
          <w:rFonts w:hint="eastAsia"/>
        </w:rPr>
      </w:pPr>
      <w:r>
        <w:rPr>
          <w:rFonts w:hint="eastAsia"/>
        </w:rPr>
        <w:t>10、有责任建议和指导甲方做好日常灭鼠防虫蝇的巩固工作，如办公区域、餐厅等地段的垃圾及时清理。工作人员尽量不要在办公室进食等。</w:t>
      </w:r>
    </w:p>
    <w:p w14:paraId="571AD242">
      <w:pPr>
        <w:pStyle w:val="2"/>
        <w:ind w:firstLine="640"/>
        <w:rPr>
          <w:rFonts w:hint="eastAsia"/>
        </w:rPr>
      </w:pPr>
      <w:r>
        <w:rPr>
          <w:rFonts w:hint="eastAsia"/>
        </w:rPr>
        <w:t>11、注意灭鼠防虫蝇器械物的使用安全，投放灭鼠防虫蝇器械注意的事项和需要防护的部分，应向甲方提出，并采取有效的防护措施以免丢失。</w:t>
      </w:r>
    </w:p>
    <w:p w14:paraId="21713027">
      <w:pPr>
        <w:pStyle w:val="2"/>
        <w:ind w:firstLine="640"/>
        <w:rPr>
          <w:rFonts w:hint="eastAsia"/>
        </w:rPr>
      </w:pPr>
      <w:r>
        <w:rPr>
          <w:rFonts w:hint="eastAsia"/>
        </w:rPr>
        <w:t>12、所使用的灭鼠防虫蝇器械按国家规定要求或使用全国或市有害生物防治专家委员会推荐和认定的药物或灭鼠防虫器械。</w:t>
      </w:r>
    </w:p>
    <w:p w14:paraId="3D84BA47">
      <w:pPr>
        <w:pStyle w:val="2"/>
        <w:ind w:firstLine="640"/>
        <w:rPr>
          <w:rFonts w:hint="eastAsia"/>
        </w:rPr>
      </w:pPr>
      <w:r>
        <w:rPr>
          <w:rFonts w:hint="eastAsia"/>
        </w:rPr>
        <w:t>13、服务应及时到位，保证服务质量</w:t>
      </w:r>
      <w:r>
        <w:rPr>
          <w:rFonts w:hint="eastAsia"/>
          <w:lang w:eastAsia="zh-CN"/>
        </w:rPr>
        <w:t>，</w:t>
      </w:r>
      <w:r>
        <w:rPr>
          <w:rFonts w:hint="eastAsia"/>
          <w:lang w:val="en-US" w:eastAsia="zh-CN"/>
        </w:rPr>
        <w:t>所用药品，均应严格满足国家法律法规的要求</w:t>
      </w:r>
      <w:r>
        <w:rPr>
          <w:rFonts w:hint="eastAsia"/>
        </w:rPr>
        <w:t>。</w:t>
      </w:r>
    </w:p>
    <w:p w14:paraId="100002EE">
      <w:pPr>
        <w:pStyle w:val="2"/>
        <w:ind w:firstLine="640"/>
        <w:rPr>
          <w:rFonts w:hint="eastAsia"/>
        </w:rPr>
      </w:pPr>
      <w:r>
        <w:rPr>
          <w:rFonts w:hint="eastAsia"/>
        </w:rPr>
        <w:t>八、职业健康、作业安全与环境保护</w:t>
      </w:r>
    </w:p>
    <w:p w14:paraId="75EB321A">
      <w:pPr>
        <w:pStyle w:val="2"/>
        <w:ind w:firstLine="640"/>
        <w:rPr>
          <w:rFonts w:hint="eastAsia"/>
        </w:rPr>
      </w:pPr>
      <w:r>
        <w:rPr>
          <w:rFonts w:hint="eastAsia"/>
        </w:rPr>
        <w:t>1、乙方必须建立健全安全组织机构，设立具备相应资格的安全负责人、安全员，在服务实施过程中需积极与甲方对接，接受甲方统一管理。乙方必须定期做好施工人员安全教育，增强作业人员的安全意识，并作好安全教育记录。</w:t>
      </w:r>
    </w:p>
    <w:p w14:paraId="1C97ABCB">
      <w:pPr>
        <w:pStyle w:val="2"/>
        <w:ind w:firstLine="640"/>
        <w:rPr>
          <w:rFonts w:hint="eastAsia"/>
        </w:rPr>
      </w:pPr>
      <w:r>
        <w:rPr>
          <w:rFonts w:hint="eastAsia"/>
        </w:rPr>
        <w:t>2、乙方在正式作业前向施工作业人员进行安全技术交底工作，作好交底记录。乙方必须遵守有关法律法规的管理规定，配置安全防护和劳动保护用品（具），严格按安全标准 组织施工，并随时接受甲方的检查、监督，采取必要的安全防护措施，消除事故隐患。</w:t>
      </w:r>
    </w:p>
    <w:p w14:paraId="0C83294A">
      <w:pPr>
        <w:pStyle w:val="2"/>
        <w:ind w:firstLine="640"/>
        <w:rPr>
          <w:rFonts w:hint="eastAsia"/>
        </w:rPr>
      </w:pPr>
      <w:r>
        <w:rPr>
          <w:rFonts w:hint="eastAsia"/>
        </w:rPr>
        <w:t>3、在施工过程中，因乙方原因造成的甲乙双方及任何第三方的人员伤亡或财产损失，均由乙方承担法律责任和经济责任。由于乙方安全意识不到位、违章作业、安全措施不及时、不力等安全隐患，造成安全事故，其责任及费用均由乙方承担。凡因乙方人员操作不当或违反操作规程等乙方原因造成的安全事故或造成他方人员伤亡，其责任和费用由乙方承担。</w:t>
      </w:r>
    </w:p>
    <w:p w14:paraId="4E53B0C2">
      <w:pPr>
        <w:pStyle w:val="2"/>
        <w:ind w:firstLine="640"/>
        <w:rPr>
          <w:rFonts w:hint="eastAsia"/>
        </w:rPr>
      </w:pPr>
      <w:r>
        <w:rPr>
          <w:rFonts w:hint="eastAsia"/>
        </w:rPr>
        <w:t>4、乙方的施工人员如涉及特种作业的必须持有相关特种作业证件并在施工前报甲方备案，所有施工人员需按相关法规、规范要求持证上岗。</w:t>
      </w:r>
    </w:p>
    <w:p w14:paraId="0E32289E">
      <w:pPr>
        <w:pStyle w:val="2"/>
        <w:ind w:firstLine="640"/>
        <w:rPr>
          <w:rFonts w:hint="eastAsia"/>
        </w:rPr>
      </w:pPr>
      <w:r>
        <w:rPr>
          <w:rFonts w:hint="eastAsia"/>
        </w:rPr>
        <w:t>5、乙方必须按有关规定为所有管理人员及施工人员购买工伤保险、意外伤害保险、医疗保险及其它相关保险，为自有人员财产和施工机械设备办理保险。若乙方未按人数和财产数量及时办理相关保险事宜的，所有责任和后果由乙方独自全额承担，并承担事故善后处理的全部费用。</w:t>
      </w:r>
    </w:p>
    <w:p w14:paraId="4B2C81E4">
      <w:pPr>
        <w:pStyle w:val="2"/>
        <w:ind w:firstLine="640"/>
        <w:rPr>
          <w:rFonts w:hint="eastAsia"/>
        </w:rPr>
      </w:pPr>
      <w:r>
        <w:rPr>
          <w:rFonts w:hint="eastAsia"/>
        </w:rPr>
        <w:t>6、本项目乙方应严格遵守国家及地方有关安全、文明施工的规定，遵守甲方现场管理要求，工作日施工不得影响甲方正常办公，所有施工、施工废弃物品均于当日内清理出场，垃圾、废品处理方式应符合地方政府和有关部门相关法规要求。</w:t>
      </w:r>
    </w:p>
    <w:p w14:paraId="0F4C4044">
      <w:pPr>
        <w:pStyle w:val="2"/>
        <w:ind w:firstLine="640"/>
        <w:rPr>
          <w:rFonts w:hint="eastAsia"/>
        </w:rPr>
      </w:pPr>
      <w:r>
        <w:rPr>
          <w:rFonts w:hint="eastAsia"/>
        </w:rPr>
        <w:t>7、遵守地方政府和有关部门对施工场地交通、施工噪声、施工现场环境卫生和场外污染等管理规定，乙方自行承担因不遵守相关管理规定而受到的处罚。</w:t>
      </w:r>
    </w:p>
    <w:p w14:paraId="315B2B97">
      <w:pPr>
        <w:pStyle w:val="2"/>
        <w:ind w:left="480" w:leftChars="200" w:firstLine="0" w:firstLineChars="0"/>
        <w:rPr>
          <w:rFonts w:hint="eastAsia"/>
          <w:szCs w:val="28"/>
          <w:lang w:eastAsia="zh-CN"/>
        </w:rPr>
      </w:pPr>
      <w:r>
        <w:rPr>
          <w:rFonts w:hint="default"/>
          <w:lang w:val="en"/>
        </w:rPr>
        <w:t>8</w:t>
      </w:r>
      <w:r>
        <w:rPr>
          <w:rFonts w:hint="eastAsia"/>
        </w:rPr>
        <w:t>.</w:t>
      </w:r>
      <w:r>
        <w:rPr>
          <w:rFonts w:hint="eastAsia"/>
          <w:lang w:eastAsia="zh-CN"/>
        </w:rPr>
        <w:t>乙方还需购置如下</w:t>
      </w:r>
      <w:r>
        <w:rPr>
          <w:rFonts w:hint="eastAsia"/>
        </w:rPr>
        <w:t>办公区</w:t>
      </w:r>
      <w:r>
        <w:rPr>
          <w:rFonts w:hint="eastAsia"/>
          <w:szCs w:val="28"/>
        </w:rPr>
        <w:t>“灭蚊、驱蚊”用品</w:t>
      </w:r>
      <w:r>
        <w:rPr>
          <w:rFonts w:hint="eastAsia"/>
          <w:szCs w:val="28"/>
          <w:lang w:eastAsia="zh-CN"/>
        </w:rPr>
        <w:t>，用于甲方</w:t>
      </w:r>
    </w:p>
    <w:p w14:paraId="6B49CEB9">
      <w:pPr>
        <w:pStyle w:val="2"/>
        <w:ind w:left="0" w:leftChars="0" w:firstLine="0" w:firstLineChars="0"/>
        <w:rPr>
          <w:rFonts w:hint="eastAsia"/>
        </w:rPr>
      </w:pPr>
      <w:r>
        <w:rPr>
          <w:rFonts w:hint="eastAsia"/>
          <w:szCs w:val="28"/>
          <w:lang w:eastAsia="zh-CN"/>
        </w:rPr>
        <w:t>日常使用</w:t>
      </w:r>
      <w:r>
        <w:rPr>
          <w:rFonts w:hint="eastAsia"/>
          <w:szCs w:val="28"/>
        </w:rPr>
        <w:t>：</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996"/>
        <w:gridCol w:w="1559"/>
        <w:gridCol w:w="3686"/>
        <w:gridCol w:w="992"/>
      </w:tblGrid>
      <w:tr w14:paraId="6298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76" w:type="dxa"/>
            <w:vAlign w:val="center"/>
          </w:tcPr>
          <w:p w14:paraId="09789E04">
            <w:pPr>
              <w:jc w:val="center"/>
              <w:rPr>
                <w:rFonts w:hint="eastAsia"/>
                <w:sz w:val="32"/>
                <w:szCs w:val="28"/>
              </w:rPr>
            </w:pPr>
            <w:r>
              <w:rPr>
                <w:rFonts w:hint="eastAsia"/>
                <w:sz w:val="32"/>
                <w:szCs w:val="28"/>
              </w:rPr>
              <w:t>序号</w:t>
            </w:r>
          </w:p>
        </w:tc>
        <w:tc>
          <w:tcPr>
            <w:tcW w:w="1996" w:type="dxa"/>
            <w:vAlign w:val="center"/>
          </w:tcPr>
          <w:p w14:paraId="5A8185CC">
            <w:pPr>
              <w:jc w:val="center"/>
              <w:rPr>
                <w:rFonts w:hint="eastAsia"/>
                <w:sz w:val="32"/>
                <w:szCs w:val="28"/>
              </w:rPr>
            </w:pPr>
            <w:r>
              <w:rPr>
                <w:rFonts w:hint="eastAsia"/>
                <w:sz w:val="32"/>
                <w:szCs w:val="28"/>
              </w:rPr>
              <w:t>名称</w:t>
            </w:r>
          </w:p>
        </w:tc>
        <w:tc>
          <w:tcPr>
            <w:tcW w:w="1559" w:type="dxa"/>
            <w:vAlign w:val="center"/>
          </w:tcPr>
          <w:p w14:paraId="3AB0AAE5">
            <w:pPr>
              <w:jc w:val="center"/>
              <w:rPr>
                <w:rFonts w:hint="eastAsia"/>
                <w:sz w:val="32"/>
                <w:szCs w:val="28"/>
              </w:rPr>
            </w:pPr>
            <w:r>
              <w:rPr>
                <w:rFonts w:hint="eastAsia"/>
                <w:sz w:val="32"/>
                <w:szCs w:val="28"/>
              </w:rPr>
              <w:t>数量</w:t>
            </w:r>
          </w:p>
        </w:tc>
        <w:tc>
          <w:tcPr>
            <w:tcW w:w="3686" w:type="dxa"/>
            <w:vAlign w:val="center"/>
          </w:tcPr>
          <w:p w14:paraId="08A0F713">
            <w:pPr>
              <w:jc w:val="center"/>
              <w:rPr>
                <w:rFonts w:hint="eastAsia"/>
                <w:sz w:val="32"/>
                <w:szCs w:val="28"/>
              </w:rPr>
            </w:pPr>
            <w:r>
              <w:rPr>
                <w:rFonts w:hint="eastAsia"/>
                <w:sz w:val="32"/>
                <w:szCs w:val="28"/>
              </w:rPr>
              <w:t>技术规格参数</w:t>
            </w:r>
          </w:p>
        </w:tc>
        <w:tc>
          <w:tcPr>
            <w:tcW w:w="992" w:type="dxa"/>
            <w:vAlign w:val="center"/>
          </w:tcPr>
          <w:p w14:paraId="12B6DF93">
            <w:pPr>
              <w:jc w:val="center"/>
              <w:rPr>
                <w:rFonts w:hint="eastAsia" w:eastAsia="仿宋_GB2312"/>
                <w:sz w:val="32"/>
                <w:szCs w:val="28"/>
                <w:lang w:val="en-US" w:eastAsia="zh-CN"/>
              </w:rPr>
            </w:pPr>
            <w:r>
              <w:rPr>
                <w:rFonts w:hint="eastAsia"/>
                <w:sz w:val="32"/>
                <w:szCs w:val="28"/>
                <w:lang w:val="en-US" w:eastAsia="zh-CN"/>
              </w:rPr>
              <w:t>品牌</w:t>
            </w:r>
          </w:p>
        </w:tc>
      </w:tr>
      <w:tr w14:paraId="5F69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vAlign w:val="center"/>
          </w:tcPr>
          <w:p w14:paraId="778EA4CB">
            <w:pPr>
              <w:jc w:val="center"/>
              <w:rPr>
                <w:rFonts w:hint="eastAsia" w:eastAsia="仿宋_GB2312"/>
                <w:sz w:val="32"/>
                <w:szCs w:val="28"/>
                <w:lang w:val="en-US" w:eastAsia="zh-CN"/>
              </w:rPr>
            </w:pPr>
            <w:r>
              <w:rPr>
                <w:rFonts w:hint="eastAsia"/>
                <w:sz w:val="32"/>
                <w:szCs w:val="28"/>
                <w:lang w:val="en-US" w:eastAsia="zh-CN"/>
              </w:rPr>
              <w:t>1</w:t>
            </w:r>
          </w:p>
        </w:tc>
        <w:tc>
          <w:tcPr>
            <w:tcW w:w="1996" w:type="dxa"/>
            <w:vAlign w:val="center"/>
          </w:tcPr>
          <w:p w14:paraId="775B657E">
            <w:pPr>
              <w:jc w:val="center"/>
              <w:rPr>
                <w:rFonts w:hint="eastAsia"/>
                <w:sz w:val="32"/>
                <w:szCs w:val="28"/>
              </w:rPr>
            </w:pPr>
            <w:r>
              <w:rPr>
                <w:rFonts w:hint="eastAsia"/>
                <w:sz w:val="32"/>
                <w:szCs w:val="28"/>
              </w:rPr>
              <w:t>环保无味雷达杀虫喷雾</w:t>
            </w:r>
          </w:p>
        </w:tc>
        <w:tc>
          <w:tcPr>
            <w:tcW w:w="1559" w:type="dxa"/>
            <w:vAlign w:val="center"/>
          </w:tcPr>
          <w:p w14:paraId="496BDBC1">
            <w:pPr>
              <w:jc w:val="center"/>
              <w:rPr>
                <w:rFonts w:hint="eastAsia"/>
                <w:sz w:val="32"/>
                <w:szCs w:val="28"/>
              </w:rPr>
            </w:pPr>
            <w:r>
              <w:rPr>
                <w:rFonts w:hint="eastAsia"/>
                <w:sz w:val="32"/>
                <w:szCs w:val="28"/>
              </w:rPr>
              <w:t>80支</w:t>
            </w:r>
          </w:p>
        </w:tc>
        <w:tc>
          <w:tcPr>
            <w:tcW w:w="3686" w:type="dxa"/>
            <w:vAlign w:val="center"/>
          </w:tcPr>
          <w:p w14:paraId="2D487AEB">
            <w:pPr>
              <w:jc w:val="center"/>
              <w:rPr>
                <w:rFonts w:hint="eastAsia"/>
                <w:sz w:val="32"/>
                <w:szCs w:val="28"/>
              </w:rPr>
            </w:pPr>
            <w:r>
              <w:rPr>
                <w:rFonts w:hint="eastAsia"/>
                <w:sz w:val="32"/>
                <w:szCs w:val="28"/>
              </w:rPr>
              <w:t>原装正品，单只容量不小于550ml</w:t>
            </w:r>
          </w:p>
        </w:tc>
        <w:tc>
          <w:tcPr>
            <w:tcW w:w="992" w:type="dxa"/>
            <w:vAlign w:val="center"/>
          </w:tcPr>
          <w:p w14:paraId="56D30556">
            <w:pPr>
              <w:jc w:val="center"/>
              <w:rPr>
                <w:rFonts w:hint="eastAsia"/>
                <w:sz w:val="32"/>
                <w:szCs w:val="28"/>
                <w:lang w:val="en-US" w:eastAsia="zh-CN"/>
              </w:rPr>
            </w:pPr>
            <w:r>
              <w:rPr>
                <w:rFonts w:hint="eastAsia"/>
                <w:sz w:val="32"/>
                <w:szCs w:val="28"/>
                <w:lang w:val="en-US" w:eastAsia="zh-CN"/>
              </w:rPr>
              <w:t>雷达</w:t>
            </w:r>
          </w:p>
        </w:tc>
      </w:tr>
      <w:tr w14:paraId="7CF5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vAlign w:val="center"/>
          </w:tcPr>
          <w:p w14:paraId="777C6775">
            <w:pPr>
              <w:jc w:val="center"/>
              <w:rPr>
                <w:rFonts w:hint="eastAsia" w:eastAsia="仿宋_GB2312"/>
                <w:sz w:val="32"/>
                <w:szCs w:val="28"/>
                <w:lang w:val="en-US" w:eastAsia="zh-CN"/>
              </w:rPr>
            </w:pPr>
            <w:r>
              <w:rPr>
                <w:rFonts w:hint="eastAsia"/>
                <w:sz w:val="32"/>
                <w:szCs w:val="28"/>
                <w:lang w:val="en-US" w:eastAsia="zh-CN"/>
              </w:rPr>
              <w:t>2</w:t>
            </w:r>
          </w:p>
        </w:tc>
        <w:tc>
          <w:tcPr>
            <w:tcW w:w="1996" w:type="dxa"/>
            <w:vAlign w:val="center"/>
          </w:tcPr>
          <w:p w14:paraId="5221F06F">
            <w:pPr>
              <w:jc w:val="center"/>
              <w:rPr>
                <w:rFonts w:hint="eastAsia"/>
                <w:sz w:val="32"/>
                <w:szCs w:val="28"/>
              </w:rPr>
            </w:pPr>
            <w:r>
              <w:rPr>
                <w:rFonts w:hint="eastAsia"/>
                <w:sz w:val="32"/>
                <w:szCs w:val="28"/>
              </w:rPr>
              <w:t>环保型植萃雷达电蚊香</w:t>
            </w:r>
          </w:p>
        </w:tc>
        <w:tc>
          <w:tcPr>
            <w:tcW w:w="1559" w:type="dxa"/>
            <w:vAlign w:val="center"/>
          </w:tcPr>
          <w:p w14:paraId="319001DF">
            <w:pPr>
              <w:jc w:val="center"/>
              <w:rPr>
                <w:rFonts w:hint="eastAsia"/>
                <w:sz w:val="32"/>
                <w:szCs w:val="28"/>
              </w:rPr>
            </w:pPr>
            <w:r>
              <w:rPr>
                <w:rFonts w:hint="eastAsia"/>
                <w:sz w:val="32"/>
                <w:szCs w:val="28"/>
                <w:lang w:val="en-US" w:eastAsia="zh-CN"/>
              </w:rPr>
              <w:t>40</w:t>
            </w:r>
            <w:r>
              <w:rPr>
                <w:rFonts w:hint="eastAsia"/>
                <w:sz w:val="32"/>
                <w:szCs w:val="28"/>
              </w:rPr>
              <w:t>支</w:t>
            </w:r>
          </w:p>
        </w:tc>
        <w:tc>
          <w:tcPr>
            <w:tcW w:w="3686" w:type="dxa"/>
            <w:vAlign w:val="center"/>
          </w:tcPr>
          <w:p w14:paraId="3E48A1EB">
            <w:pPr>
              <w:jc w:val="center"/>
              <w:rPr>
                <w:rFonts w:hint="eastAsia"/>
                <w:sz w:val="32"/>
                <w:szCs w:val="28"/>
              </w:rPr>
            </w:pPr>
            <w:r>
              <w:rPr>
                <w:rFonts w:hint="eastAsia"/>
                <w:sz w:val="32"/>
                <w:szCs w:val="28"/>
              </w:rPr>
              <w:t>原装正品，单只加热器*1、蚊香液*6</w:t>
            </w:r>
          </w:p>
        </w:tc>
        <w:tc>
          <w:tcPr>
            <w:tcW w:w="992" w:type="dxa"/>
            <w:vAlign w:val="center"/>
          </w:tcPr>
          <w:p w14:paraId="449658B4">
            <w:pPr>
              <w:jc w:val="center"/>
              <w:rPr>
                <w:rFonts w:hint="eastAsia"/>
                <w:sz w:val="32"/>
                <w:szCs w:val="28"/>
                <w:lang w:val="en-US" w:eastAsia="zh-CN"/>
              </w:rPr>
            </w:pPr>
            <w:r>
              <w:rPr>
                <w:rFonts w:hint="eastAsia"/>
                <w:sz w:val="32"/>
                <w:szCs w:val="28"/>
                <w:lang w:val="en-US" w:eastAsia="zh-CN"/>
              </w:rPr>
              <w:t>雷达</w:t>
            </w:r>
          </w:p>
        </w:tc>
      </w:tr>
    </w:tbl>
    <w:p w14:paraId="141767A3">
      <w:pPr>
        <w:pStyle w:val="2"/>
        <w:ind w:firstLine="640"/>
        <w:rPr>
          <w:rFonts w:hint="eastAsia"/>
        </w:rPr>
      </w:pPr>
      <w:r>
        <w:rPr>
          <w:rFonts w:hint="eastAsia"/>
        </w:rPr>
        <w:t>九、违约责任</w:t>
      </w:r>
    </w:p>
    <w:p w14:paraId="450AF33D">
      <w:pPr>
        <w:pStyle w:val="2"/>
        <w:ind w:firstLine="640"/>
        <w:rPr>
          <w:rFonts w:hint="eastAsia"/>
        </w:rPr>
      </w:pPr>
      <w:r>
        <w:rPr>
          <w:rFonts w:hint="eastAsia"/>
        </w:rPr>
        <w:t>本合同生效后，任何一方不得无故终止合同，否则违约方承担合同总价10 %的违约金,该违约金不足以弥补守约方实际损失的,违约方还应赔偿守约方实际损失。</w:t>
      </w:r>
    </w:p>
    <w:p w14:paraId="48785E7F">
      <w:pPr>
        <w:pStyle w:val="2"/>
        <w:ind w:firstLine="640"/>
        <w:rPr>
          <w:rFonts w:hint="eastAsia"/>
        </w:rPr>
      </w:pPr>
      <w:r>
        <w:rPr>
          <w:rFonts w:hint="eastAsia"/>
        </w:rPr>
        <w:t>甲乙双方协商一致的，可以解除本合同。合同解除后，乙方应妥善做好已完工程和剩余材料、设备的保护和移交工作。</w:t>
      </w:r>
    </w:p>
    <w:p w14:paraId="6BF9592B">
      <w:pPr>
        <w:pStyle w:val="2"/>
        <w:ind w:firstLine="640"/>
        <w:rPr>
          <w:rFonts w:hint="eastAsia"/>
        </w:rPr>
      </w:pPr>
      <w:r>
        <w:rPr>
          <w:rFonts w:hint="eastAsia"/>
        </w:rPr>
        <w:t>十、文件组成</w:t>
      </w:r>
    </w:p>
    <w:p w14:paraId="724D4220">
      <w:pPr>
        <w:pStyle w:val="2"/>
        <w:ind w:firstLine="640"/>
        <w:rPr>
          <w:rFonts w:hint="eastAsia"/>
        </w:rPr>
      </w:pPr>
      <w:r>
        <w:rPr>
          <w:rFonts w:hint="eastAsia"/>
        </w:rPr>
        <w:t>项目招标公告、磋商文件、投标文件均为合同有效组成部分，其他未尽事宜经双方协商，另行书面补充；若协商不成，双方均可向采购人所在地人民法院起诉。</w:t>
      </w:r>
    </w:p>
    <w:p w14:paraId="7B54220A">
      <w:pPr>
        <w:pStyle w:val="2"/>
        <w:ind w:firstLine="640"/>
        <w:rPr>
          <w:rFonts w:hint="eastAsia"/>
        </w:rPr>
      </w:pPr>
      <w:r>
        <w:rPr>
          <w:rFonts w:hint="eastAsia"/>
        </w:rPr>
        <w:t>十一、保密</w:t>
      </w:r>
    </w:p>
    <w:p w14:paraId="17303695">
      <w:pPr>
        <w:pStyle w:val="2"/>
        <w:ind w:firstLine="640"/>
        <w:rPr>
          <w:rFonts w:hint="eastAsia"/>
        </w:rPr>
      </w:pPr>
      <w:r>
        <w:rPr>
          <w:rFonts w:hint="eastAsia"/>
        </w:rPr>
        <w:t>乙方对为甲方提供服务的整个过程中知悉的保密信息负有保密责任。乙方在为甲方提供服务的整个过程中，应遵守中华人民共和国的法律、法规及甲方保密工作管理规定。</w:t>
      </w:r>
    </w:p>
    <w:p w14:paraId="630C88C1">
      <w:pPr>
        <w:pStyle w:val="2"/>
        <w:ind w:firstLine="640"/>
        <w:rPr>
          <w:rFonts w:hint="eastAsia"/>
        </w:rPr>
      </w:pPr>
      <w:r>
        <w:rPr>
          <w:rFonts w:hint="eastAsia"/>
        </w:rPr>
        <w:t>除法律规定或合同另有约定外，未经甲方同意，乙方不得将甲方提供的图纸、文件以及声明需要保密的资料信息等文件、信息露给第三方。</w:t>
      </w:r>
    </w:p>
    <w:p w14:paraId="3D689197">
      <w:pPr>
        <w:pStyle w:val="2"/>
        <w:ind w:firstLine="640"/>
        <w:rPr>
          <w:rFonts w:hint="eastAsia"/>
        </w:rPr>
      </w:pPr>
      <w:r>
        <w:rPr>
          <w:rFonts w:hint="eastAsia"/>
        </w:rPr>
        <w:t>甲方因乙方工作需要传送或交付给乙方的项目文件及未来传送或交付给乙方的与项目相关的任何商业、行政或其它相关信息、文件、资料等，包括但不限于乙方在提供服务过程中获知的既存和（或）潜在的交易、可行性研究、建议、设计方案、建设项目等特定信息、资料，均属于保密信息的范畴。</w:t>
      </w:r>
    </w:p>
    <w:p w14:paraId="79C080A3">
      <w:pPr>
        <w:pStyle w:val="2"/>
        <w:ind w:firstLine="640"/>
        <w:rPr>
          <w:rFonts w:hint="eastAsia"/>
        </w:rPr>
      </w:pPr>
      <w:r>
        <w:rPr>
          <w:rFonts w:hint="eastAsia"/>
        </w:rPr>
        <w:t>十二、其他</w:t>
      </w:r>
    </w:p>
    <w:p w14:paraId="51DA3B78">
      <w:pPr>
        <w:pStyle w:val="2"/>
        <w:ind w:firstLine="640"/>
        <w:rPr>
          <w:rFonts w:hint="eastAsia"/>
        </w:rPr>
      </w:pPr>
      <w:r>
        <w:rPr>
          <w:rFonts w:hint="eastAsia"/>
        </w:rPr>
        <w:t>本合同书经双方负责人代表签字盖章后生效，合同生效后双方不得违约。</w:t>
      </w:r>
    </w:p>
    <w:p w14:paraId="23AE0445">
      <w:pPr>
        <w:pStyle w:val="2"/>
        <w:ind w:firstLine="640"/>
        <w:rPr>
          <w:rFonts w:hint="eastAsia"/>
        </w:rPr>
      </w:pPr>
      <w:r>
        <w:rPr>
          <w:rFonts w:hint="eastAsia"/>
        </w:rPr>
        <w:t>本合同书一式四份，甲方执二份，乙方执二份。</w:t>
      </w:r>
    </w:p>
    <w:p w14:paraId="67A27A76">
      <w:pPr>
        <w:rPr>
          <w:rFonts w:hint="eastAsia"/>
        </w:rPr>
      </w:pPr>
    </w:p>
    <w:tbl>
      <w:tblPr>
        <w:tblStyle w:val="5"/>
        <w:tblW w:w="90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6"/>
        <w:gridCol w:w="4526"/>
      </w:tblGrid>
      <w:tr w14:paraId="6404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5" w:hRule="atLeast"/>
          <w:jc w:val="center"/>
        </w:trPr>
        <w:tc>
          <w:tcPr>
            <w:tcW w:w="4526" w:type="dxa"/>
            <w:vAlign w:val="center"/>
          </w:tcPr>
          <w:p w14:paraId="7913E0E3">
            <w:pPr>
              <w:spacing w:line="360" w:lineRule="auto"/>
              <w:rPr>
                <w:rFonts w:hint="eastAsia" w:ascii="仿宋_GB2312"/>
                <w:sz w:val="32"/>
                <w:szCs w:val="28"/>
              </w:rPr>
            </w:pPr>
            <w:r>
              <w:rPr>
                <w:rFonts w:hint="eastAsia" w:ascii="仿宋_GB2312"/>
                <w:sz w:val="32"/>
                <w:szCs w:val="28"/>
              </w:rPr>
              <w:t>甲方：湖北省卫生健康委员会</w:t>
            </w:r>
          </w:p>
          <w:p w14:paraId="017EA9B3">
            <w:pPr>
              <w:spacing w:line="360" w:lineRule="auto"/>
              <w:rPr>
                <w:rFonts w:hint="eastAsia" w:ascii="仿宋_GB2312"/>
                <w:sz w:val="32"/>
                <w:szCs w:val="28"/>
              </w:rPr>
            </w:pPr>
            <w:r>
              <w:rPr>
                <w:rFonts w:hint="eastAsia" w:ascii="仿宋_GB2312"/>
                <w:sz w:val="32"/>
                <w:szCs w:val="28"/>
              </w:rPr>
              <w:t>甲方盖章：</w:t>
            </w:r>
          </w:p>
          <w:p w14:paraId="51C2CF8B">
            <w:pPr>
              <w:spacing w:line="360" w:lineRule="auto"/>
              <w:rPr>
                <w:rFonts w:hint="eastAsia" w:ascii="仿宋_GB2312"/>
                <w:sz w:val="32"/>
                <w:szCs w:val="28"/>
              </w:rPr>
            </w:pPr>
            <w:r>
              <w:rPr>
                <w:rFonts w:hint="eastAsia" w:ascii="仿宋_GB2312"/>
                <w:sz w:val="32"/>
                <w:szCs w:val="28"/>
              </w:rPr>
              <w:t>甲方代表（签字）：</w:t>
            </w:r>
          </w:p>
          <w:p w14:paraId="32A2285D">
            <w:pPr>
              <w:spacing w:line="360" w:lineRule="auto"/>
              <w:rPr>
                <w:rFonts w:hint="eastAsia" w:ascii="仿宋_GB2312"/>
                <w:sz w:val="32"/>
                <w:szCs w:val="28"/>
              </w:rPr>
            </w:pPr>
            <w:r>
              <w:rPr>
                <w:rFonts w:hint="eastAsia" w:ascii="仿宋_GB2312"/>
                <w:sz w:val="32"/>
                <w:szCs w:val="28"/>
              </w:rPr>
              <w:t>日期：二0二</w:t>
            </w:r>
            <w:r>
              <w:rPr>
                <w:rFonts w:hint="eastAsia" w:ascii="仿宋_GB2312"/>
                <w:sz w:val="32"/>
                <w:szCs w:val="28"/>
                <w:lang w:val="en-US" w:eastAsia="zh-CN"/>
              </w:rPr>
              <w:t>五</w:t>
            </w:r>
            <w:r>
              <w:rPr>
                <w:rFonts w:hint="eastAsia" w:ascii="仿宋_GB2312"/>
                <w:sz w:val="32"/>
                <w:szCs w:val="28"/>
              </w:rPr>
              <w:t>年  月  日</w:t>
            </w:r>
          </w:p>
        </w:tc>
        <w:tc>
          <w:tcPr>
            <w:tcW w:w="4526" w:type="dxa"/>
            <w:vAlign w:val="center"/>
          </w:tcPr>
          <w:p w14:paraId="5FFF6BA2">
            <w:pPr>
              <w:spacing w:line="360" w:lineRule="auto"/>
              <w:rPr>
                <w:rFonts w:hint="eastAsia" w:ascii="仿宋_GB2312"/>
                <w:sz w:val="32"/>
                <w:szCs w:val="28"/>
              </w:rPr>
            </w:pPr>
            <w:r>
              <w:rPr>
                <w:rFonts w:hint="eastAsia" w:ascii="仿宋_GB2312"/>
                <w:sz w:val="32"/>
                <w:szCs w:val="28"/>
              </w:rPr>
              <w:t>乙方：</w:t>
            </w:r>
          </w:p>
          <w:p w14:paraId="0D1C7B2E">
            <w:pPr>
              <w:spacing w:line="360" w:lineRule="auto"/>
              <w:rPr>
                <w:rFonts w:hint="eastAsia" w:ascii="仿宋_GB2312"/>
                <w:sz w:val="32"/>
                <w:szCs w:val="28"/>
              </w:rPr>
            </w:pPr>
            <w:r>
              <w:rPr>
                <w:rFonts w:hint="eastAsia" w:ascii="仿宋_GB2312"/>
                <w:sz w:val="32"/>
                <w:szCs w:val="28"/>
              </w:rPr>
              <w:t xml:space="preserve">乙方盖章： </w:t>
            </w:r>
          </w:p>
          <w:p w14:paraId="79E7DB5A">
            <w:pPr>
              <w:spacing w:line="360" w:lineRule="auto"/>
              <w:rPr>
                <w:rFonts w:hint="eastAsia" w:ascii="仿宋_GB2312"/>
                <w:sz w:val="32"/>
                <w:szCs w:val="28"/>
              </w:rPr>
            </w:pPr>
            <w:r>
              <w:rPr>
                <w:rFonts w:hint="eastAsia" w:ascii="仿宋_GB2312"/>
                <w:sz w:val="32"/>
                <w:szCs w:val="28"/>
              </w:rPr>
              <w:t>乙方代表（签字）：</w:t>
            </w:r>
          </w:p>
          <w:p w14:paraId="4803C66B">
            <w:pPr>
              <w:spacing w:line="360" w:lineRule="auto"/>
              <w:rPr>
                <w:rFonts w:hint="eastAsia" w:ascii="仿宋_GB2312"/>
                <w:sz w:val="32"/>
                <w:szCs w:val="28"/>
              </w:rPr>
            </w:pPr>
            <w:r>
              <w:rPr>
                <w:rFonts w:hint="eastAsia" w:ascii="仿宋_GB2312"/>
                <w:sz w:val="32"/>
                <w:szCs w:val="28"/>
              </w:rPr>
              <w:t>日期：二0二</w:t>
            </w:r>
            <w:r>
              <w:rPr>
                <w:rFonts w:hint="eastAsia" w:ascii="仿宋_GB2312"/>
                <w:sz w:val="32"/>
                <w:szCs w:val="28"/>
                <w:lang w:val="en-US" w:eastAsia="zh-CN"/>
              </w:rPr>
              <w:t>五</w:t>
            </w:r>
            <w:r>
              <w:rPr>
                <w:rFonts w:hint="eastAsia" w:ascii="仿宋_GB2312"/>
                <w:sz w:val="32"/>
                <w:szCs w:val="28"/>
              </w:rPr>
              <w:t>年  月  日</w:t>
            </w:r>
          </w:p>
        </w:tc>
      </w:tr>
    </w:tbl>
    <w:p w14:paraId="7EC5BDDB">
      <w:pPr>
        <w:rPr>
          <w:rFonts w:hint="eastAsia"/>
        </w:rPr>
      </w:pPr>
    </w:p>
    <w:p w14:paraId="1BF14521"/>
    <w:sectPr>
      <w:headerReference r:id="rId3" w:type="default"/>
      <w:pgSz w:w="11906" w:h="16838"/>
      <w:pgMar w:top="1701" w:right="1588" w:bottom="977" w:left="1701" w:header="567" w:footer="567"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85559A9-7B40-483F-A8A3-F03D9F16A2A5}"/>
  </w:font>
  <w:font w:name="仿宋_GB2312">
    <w:panose1 w:val="02010609030101010101"/>
    <w:charset w:val="86"/>
    <w:family w:val="modern"/>
    <w:pitch w:val="default"/>
    <w:sig w:usb0="00000001" w:usb1="080E0000" w:usb2="00000000" w:usb3="00000000" w:csb0="00040000" w:csb1="00000000"/>
    <w:embedRegular r:id="rId2" w:fontKey="{C5322362-5BEB-4BF0-87C5-5364833A6797}"/>
  </w:font>
  <w:font w:name="方正小标宋简体">
    <w:panose1 w:val="02000000000000000000"/>
    <w:charset w:val="86"/>
    <w:family w:val="script"/>
    <w:pitch w:val="default"/>
    <w:sig w:usb0="00000001" w:usb1="08000000" w:usb2="00000000" w:usb3="00000000" w:csb0="00040000" w:csb1="00000000"/>
    <w:embedRegular r:id="rId3" w:fontKey="{0ED10E33-6649-4DB6-AAFF-C2B6DE4D149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DEFB6">
    <w:pPr>
      <w:pStyle w:val="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BF4C6"/>
    <w:multiLevelType w:val="singleLevel"/>
    <w:tmpl w:val="816BF4C6"/>
    <w:lvl w:ilvl="0" w:tentative="0">
      <w:start w:val="1"/>
      <w:numFmt w:val="decimal"/>
      <w:suff w:val="space"/>
      <w:lvlText w:val="%1."/>
      <w:lvlJc w:val="left"/>
    </w:lvl>
  </w:abstractNum>
  <w:abstractNum w:abstractNumId="1">
    <w:nsid w:val="F4FA2B63"/>
    <w:multiLevelType w:val="singleLevel"/>
    <w:tmpl w:val="F4FA2B6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C5991"/>
    <w:rsid w:val="05594E9A"/>
    <w:rsid w:val="07705AE0"/>
    <w:rsid w:val="0E4B3E88"/>
    <w:rsid w:val="0F557518"/>
    <w:rsid w:val="0FDB3AA3"/>
    <w:rsid w:val="12D7668B"/>
    <w:rsid w:val="17D40979"/>
    <w:rsid w:val="2DEA4E78"/>
    <w:rsid w:val="3FFD3C36"/>
    <w:rsid w:val="43795C64"/>
    <w:rsid w:val="4A8A736F"/>
    <w:rsid w:val="4DDC5991"/>
    <w:rsid w:val="4FD712A8"/>
    <w:rsid w:val="509A44D9"/>
    <w:rsid w:val="610E6C3A"/>
    <w:rsid w:val="68C77CB4"/>
    <w:rsid w:val="6FE152DF"/>
    <w:rsid w:val="792E168A"/>
    <w:rsid w:val="7BB61806"/>
    <w:rsid w:val="7FEE3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pPr>
    <w:rPr>
      <w:rFonts w:eastAsia="仿宋_GB2312" w:asciiTheme="minorHAnsi" w:hAnsiTheme="minorHAnsi" w:cstheme="minorBidi"/>
      <w:kern w:val="2"/>
      <w:sz w:val="24"/>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line="560" w:lineRule="exact"/>
      <w:ind w:firstLine="200" w:firstLineChars="200"/>
      <w:jc w:val="both"/>
    </w:pPr>
    <w:rPr>
      <w:rFonts w:ascii="仿宋_GB2312" w:hAnsi="仿宋_GB2312" w:cs="仿宋_GB2312"/>
      <w:sz w:val="32"/>
      <w:szCs w:val="24"/>
    </w:rPr>
  </w:style>
  <w:style w:type="paragraph" w:styleId="3">
    <w:name w:val="header"/>
    <w:basedOn w:val="1"/>
    <w:unhideWhenUsed/>
    <w:qFormat/>
    <w:uiPriority w:val="99"/>
    <w:pPr>
      <w:tabs>
        <w:tab w:val="center" w:pos="4153"/>
        <w:tab w:val="right" w:pos="8306"/>
      </w:tabs>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3527</Words>
  <Characters>3598</Characters>
  <Lines>0</Lines>
  <Paragraphs>0</Paragraphs>
  <TotalTime>0</TotalTime>
  <ScaleCrop>false</ScaleCrop>
  <LinksUpToDate>false</LinksUpToDate>
  <CharactersWithSpaces>3689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2025-07-04T10:16:00Z</dcterms:created>
  <dc:creator>高ˇ姿态™</dc:creator>
  <cp:lastModifiedBy>高ˇ姿态™</cp:lastModifiedBy>
  <cp:lastPrinted>2025-07-08T12:43:00Z</cp:lastPrinted>
  <dcterms:modified xsi:type="dcterms:W3CDTF">2025-07-11T06:24:17Z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F86614C8F078459A84D2DCAF7A9D3002_13</vt:lpwstr>
  </property>
  <property fmtid="{D5CDD505-2E9C-101B-9397-08002B2CF9AE}" pid="4" name="KSOTemplateDocerSaveRecord">
    <vt:lpwstr>eyJoZGlkIjoiMmM0NTc2ZDlkNmVlNTE2MTZmMzc2NjdiMzQwYWFhZjgiLCJ1c2VySWQiOiI0ODYwMjU0NTcifQ==</vt:lpwstr>
  </property>
</Properties>
</file>