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E13E4D">
      <w:pPr>
        <w:jc w:val="left"/>
        <w:rPr>
          <w:rFonts w:hint="eastAsia" w:ascii="宋体" w:hAnsi="宋体" w:eastAsia="黑体"/>
          <w:bCs/>
          <w:sz w:val="32"/>
          <w:szCs w:val="32"/>
          <w:lang w:val="en-US" w:eastAsia="zh-CN"/>
        </w:rPr>
      </w:pPr>
      <w:r>
        <w:rPr>
          <w:rFonts w:hint="eastAsia" w:ascii="方正小标宋_GBK" w:hAnsi="方正小标宋_GBK" w:eastAsia="方正小标宋_GBK" w:cs="方正小标宋_GBK"/>
          <w:sz w:val="44"/>
          <w:szCs w:val="44"/>
          <w:lang w:val="en-US" w:eastAsia="zh-CN"/>
        </w:rPr>
        <w:t xml:space="preserve"> </w:t>
      </w:r>
      <w:bookmarkStart w:id="0" w:name="_GoBack"/>
      <w:bookmarkEnd w:id="0"/>
      <w:r>
        <w:rPr>
          <w:rFonts w:hint="eastAsia" w:ascii="宋体" w:hAnsi="宋体" w:eastAsia="黑体"/>
          <w:bCs/>
          <w:sz w:val="32"/>
          <w:szCs w:val="32"/>
        </w:rPr>
        <w:t>附件</w:t>
      </w:r>
      <w:r>
        <w:rPr>
          <w:rFonts w:hint="eastAsia" w:ascii="宋体" w:hAnsi="宋体" w:eastAsia="黑体"/>
          <w:bCs/>
          <w:sz w:val="32"/>
          <w:szCs w:val="32"/>
          <w:lang w:val="en-US" w:eastAsia="zh-CN"/>
        </w:rPr>
        <w:t>1</w:t>
      </w:r>
    </w:p>
    <w:p w14:paraId="7BF1BF01">
      <w:pPr>
        <w:spacing w:line="660" w:lineRule="exact"/>
        <w:jc w:val="center"/>
        <w:rPr>
          <w:rFonts w:ascii="宋体" w:hAnsi="宋体" w:eastAsia="方正小标宋_GBK" w:cs="方正小标宋_GBK"/>
          <w:snapToGrid w:val="0"/>
          <w:sz w:val="44"/>
          <w:szCs w:val="44"/>
        </w:rPr>
      </w:pPr>
    </w:p>
    <w:p w14:paraId="06E154C3">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《健康湖北》2024年第11期至2025年第10期邮寄委托服务需求清单及服务要求</w:t>
      </w:r>
    </w:p>
    <w:p w14:paraId="04D0F3C9">
      <w:pPr>
        <w:tabs>
          <w:tab w:val="left" w:pos="7020"/>
        </w:tabs>
        <w:spacing w:line="520" w:lineRule="exact"/>
        <w:jc w:val="center"/>
        <w:rPr>
          <w:rFonts w:hint="eastAsia" w:ascii="宋体" w:hAnsi="宋体" w:eastAsia="仿宋_GB2312"/>
          <w:sz w:val="32"/>
          <w:szCs w:val="32"/>
        </w:rPr>
      </w:pPr>
    </w:p>
    <w:p w14:paraId="78721D66">
      <w:pPr>
        <w:spacing w:line="520" w:lineRule="exact"/>
        <w:ind w:firstLine="640" w:firstLineChars="200"/>
        <w:rPr>
          <w:rFonts w:hint="eastAsia" w:ascii="宋体" w:hAnsi="宋体" w:eastAsia="黑体"/>
          <w:sz w:val="32"/>
          <w:szCs w:val="32"/>
        </w:rPr>
      </w:pPr>
      <w:r>
        <w:rPr>
          <w:rFonts w:hint="eastAsia" w:ascii="宋体" w:hAnsi="宋体" w:eastAsia="黑体"/>
          <w:sz w:val="32"/>
          <w:szCs w:val="32"/>
        </w:rPr>
        <w:t xml:space="preserve">一、项目内容 </w:t>
      </w:r>
    </w:p>
    <w:p w14:paraId="6CDA3B50">
      <w:pPr>
        <w:spacing w:line="52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auto"/>
          <w:sz w:val="32"/>
          <w:szCs w:val="32"/>
        </w:rPr>
        <w:t>内部资料性出版物</w:t>
      </w:r>
      <w:r>
        <w:rPr>
          <w:rFonts w:hint="eastAsia" w:ascii="仿宋_GB2312" w:hAnsi="仿宋_GB2312" w:eastAsia="仿宋_GB2312" w:cs="仿宋_GB2312"/>
          <w:color w:val="auto"/>
          <w:sz w:val="32"/>
          <w:szCs w:val="32"/>
          <w:lang w:val="en-US" w:eastAsia="zh-CN"/>
        </w:rPr>
        <w:t>《健康湖北》2024年第11期至2025年第10期共12期及全年合订本，委托进行分拣、打包、搬运、邮寄以及信息反馈等服务。</w:t>
      </w:r>
    </w:p>
    <w:p w14:paraId="45839D14">
      <w:pPr>
        <w:spacing w:line="520" w:lineRule="exact"/>
        <w:ind w:firstLine="640" w:firstLineChars="200"/>
        <w:rPr>
          <w:rFonts w:hint="eastAsia" w:ascii="宋体" w:hAnsi="宋体" w:eastAsia="黑体"/>
          <w:sz w:val="32"/>
          <w:szCs w:val="32"/>
        </w:rPr>
      </w:pPr>
      <w:r>
        <w:rPr>
          <w:rFonts w:hint="eastAsia" w:ascii="宋体" w:hAnsi="宋体" w:eastAsia="黑体"/>
          <w:sz w:val="32"/>
          <w:szCs w:val="32"/>
        </w:rPr>
        <w:t>二、项目要求</w:t>
      </w:r>
    </w:p>
    <w:p w14:paraId="53FF80B6">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（一）寄送要求</w:t>
      </w:r>
    </w:p>
    <w:p w14:paraId="1C19A6D5">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1.邮寄物品包括</w:t>
      </w:r>
      <w:r>
        <w:rPr>
          <w:rFonts w:hint="eastAsia" w:ascii="仿宋_GB2312" w:hAnsi="仿宋_GB2312" w:eastAsia="仿宋_GB2312" w:cs="仿宋_GB2312"/>
          <w:sz w:val="32"/>
          <w:szCs w:val="32"/>
        </w:rPr>
        <w:t>内部资料性出版物</w:t>
      </w:r>
      <w:r>
        <w:rPr>
          <w:rFonts w:hint="eastAsia" w:ascii="仿宋_GB2312" w:hAnsi="仿宋_GB2312" w:eastAsia="仿宋_GB2312" w:cs="仿宋_GB2312"/>
          <w:sz w:val="32"/>
          <w:szCs w:val="32"/>
          <w:lang w:val="en-US" w:eastAsia="zh-CN"/>
        </w:rPr>
        <w:t>《健康湖北》12期（每期约6800本）、2024年的合订本（全年200册）和其他相关零散印品（每期约30次的临时印品）的邮寄。以上这些服务产生的邮寄费包括在总预算之内，不再另外支付邮寄费用。</w:t>
      </w:r>
    </w:p>
    <w:p w14:paraId="57F8F7E3">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eastAsia" w:ascii="仿宋_GB2312" w:hAnsi="微软雅黑" w:eastAsia="仿宋_GB2312" w:cs="仿宋_GB2312"/>
          <w:color w:val="000000"/>
          <w:sz w:val="32"/>
          <w:szCs w:val="32"/>
          <w:lang w:val="en-US" w:eastAsia="zh-CN"/>
        </w:rPr>
      </w:pPr>
      <w:r>
        <w:rPr>
          <w:rFonts w:hint="eastAsia" w:ascii="仿宋_GB2312" w:hAnsi="仿宋_GB2312" w:eastAsia="仿宋_GB2312" w:cs="仿宋_GB2312"/>
          <w:sz w:val="32"/>
          <w:szCs w:val="32"/>
          <w:lang w:val="en-US" w:eastAsia="zh-CN"/>
        </w:rPr>
        <w:t>2.邮寄方提供服务包括《健康湖北》打包前的接收、分拣、随叫随到的搬运、仓库储存、包装、邮寄运输及后期信息查询反馈工作等方面。邮寄方须按照省卫生健康宣</w:t>
      </w:r>
      <w:r>
        <w:rPr>
          <w:rFonts w:hint="eastAsia" w:ascii="仿宋_GB2312" w:hAnsi="微软雅黑" w:eastAsia="仿宋_GB2312" w:cs="仿宋_GB2312"/>
          <w:color w:val="000000"/>
          <w:sz w:val="32"/>
          <w:szCs w:val="32"/>
          <w:lang w:val="en-US" w:eastAsia="zh-CN"/>
        </w:rPr>
        <w:t>传教育中心编辑部提供的发放明细进行分拣、打包、搬运、寄送，并在收到</w:t>
      </w:r>
      <w:r>
        <w:rPr>
          <w:rFonts w:hint="eastAsia" w:ascii="仿宋_GB2312" w:hAnsi="仿宋_GB2312" w:eastAsia="仿宋_GB2312" w:cs="仿宋_GB2312"/>
          <w:sz w:val="32"/>
          <w:szCs w:val="32"/>
          <w:lang w:val="en-US" w:eastAsia="zh-CN"/>
        </w:rPr>
        <w:t>《健康湖北》</w:t>
      </w:r>
      <w:r>
        <w:rPr>
          <w:rFonts w:hint="eastAsia" w:ascii="仿宋_GB2312" w:hAnsi="微软雅黑" w:eastAsia="仿宋_GB2312" w:cs="仿宋_GB2312"/>
          <w:color w:val="000000"/>
          <w:sz w:val="32"/>
          <w:szCs w:val="32"/>
          <w:lang w:val="en-US" w:eastAsia="zh-CN"/>
        </w:rPr>
        <w:t>后的3-4日（节假日和周末不顺延）内发出，确保5-6日（如遇到重大节假日和天灾疫情等可以适当顺延几天）内成功送达（送货上门），并做好后期查询信息的及时反馈。反馈时，需及时答复单号信息，回复信息不得超过2小时，双休日也不排除在外。除邮寄外，每期安排人员配合《健康湖北》编辑部将部分印品送达省卫生健康宣教中心、省卫生健康委机关等指定地点。</w:t>
      </w:r>
    </w:p>
    <w:p w14:paraId="329DF1E9">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3.发送方式：可选择邮政快递、物流托运、直接送达、快递转运等派送方式，登记完善的发货信息（快递单据或物流单号、重量费用等），并做好收货信息查询及及时反馈。</w:t>
      </w:r>
    </w:p>
    <w:p w14:paraId="011A2DDC">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责任承担：邮寄公司应及时通报《健康湖北》运输的进展情况，出现异常情况应及时通知我单位并商议处理。在约定的时间，如遇未能有效送达的情况，包括宣教中心每月临时抽查《健康湖北》的接收情况以及部分单位反馈的未收到情况，邮寄方须再次免费邮寄，同时，邮寄方在宣教中心查询核对邮寄信息时应确保当日提供精准信息，以便宣教中心和发送范围内的各单位达到及时有效的沟通效果，此情况产生的损失及费用由邮寄方承担。因客户拒签、登记信息错误，以及天灾等不可抗力原因造成的除外。宣教中心编辑部派专人负责每月随机抽查《健康湖北》的接收情况，经核实确有少邮寄或未邮寄的，每发现1起，收取违约金100元；发送范围内的单位反馈少邮寄或未邮寄，经核实情况属实，邮寄公司须全部再次免费邮寄，其中产生的损失由邮寄公司自行承担。以上情况超过5起，立即终止合同，并额外收取邮寄公司惩罚性违约金5000元。</w:t>
      </w:r>
    </w:p>
    <w:p w14:paraId="6643AB5D">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default" w:ascii="楷体" w:hAnsi="楷体" w:eastAsia="楷体" w:cs="楷体"/>
          <w:sz w:val="32"/>
          <w:szCs w:val="32"/>
          <w:lang w:val="en-US" w:eastAsia="zh-CN"/>
        </w:rPr>
      </w:pPr>
      <w:r>
        <w:rPr>
          <w:rFonts w:hint="eastAsia" w:ascii="楷体" w:hAnsi="楷体" w:eastAsia="楷体" w:cs="楷体"/>
          <w:sz w:val="32"/>
          <w:szCs w:val="32"/>
          <w:lang w:val="en-US" w:eastAsia="zh-CN"/>
        </w:rPr>
        <w:t>（二）费用结算要求</w:t>
      </w:r>
    </w:p>
    <w:p w14:paraId="1DE0B5D2">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邮寄方须有3期的垫支能力。费用按照财务规定和实际发行数量分4-6期付清（每2-3期结算一次）。合作方在规定时间内完成邮寄任务并由宣教中心相关人员根据双方商定的要求进行验收，验收合格后，通知乙方出具发票，在收到发票及寄送明细清单后7～10个工作日内一次性付清货款。</w:t>
      </w:r>
    </w:p>
    <w:p w14:paraId="7084DA0A">
      <w:pPr>
        <w:spacing w:line="520" w:lineRule="exact"/>
        <w:ind w:left="1590" w:leftChars="300" w:hanging="960" w:hangingChars="300"/>
        <w:rPr>
          <w:rFonts w:hint="eastAsia" w:ascii="宋体" w:hAnsi="宋体" w:eastAsia="仿宋_GB2312"/>
          <w:bCs/>
          <w:sz w:val="32"/>
          <w:szCs w:val="32"/>
          <w:lang w:val="en-US" w:eastAsia="zh-CN"/>
        </w:rPr>
      </w:pPr>
      <w:r>
        <w:rPr>
          <w:rFonts w:hint="eastAsia" w:ascii="宋体" w:hAnsi="宋体" w:eastAsia="仿宋_GB2312"/>
          <w:bCs/>
          <w:sz w:val="32"/>
          <w:szCs w:val="32"/>
          <w:lang w:val="en-US" w:eastAsia="zh-CN"/>
        </w:rPr>
        <w:t xml:space="preserve"> </w:t>
      </w:r>
    </w:p>
    <w:p w14:paraId="5E4B0E0D">
      <w:pPr>
        <w:spacing w:line="520" w:lineRule="exact"/>
        <w:ind w:left="1590" w:leftChars="300" w:hanging="960" w:hangingChars="300"/>
        <w:rPr>
          <w:rFonts w:hint="eastAsia" w:ascii="宋体" w:hAnsi="宋体" w:eastAsia="仿宋_GB2312"/>
          <w:bCs/>
          <w:sz w:val="32"/>
          <w:szCs w:val="32"/>
          <w:lang w:val="en-US" w:eastAsia="zh-CN"/>
        </w:rPr>
      </w:pPr>
    </w:p>
    <w:p w14:paraId="243DB404">
      <w:pPr>
        <w:spacing w:line="520" w:lineRule="exact"/>
        <w:ind w:left="1530" w:leftChars="300" w:hanging="900" w:hangingChars="300"/>
        <w:rPr>
          <w:rFonts w:hint="eastAsia" w:ascii="宋体" w:hAnsi="宋体" w:eastAsia="仿宋_GB2312" w:cs="仿宋"/>
          <w:spacing w:val="-10"/>
          <w:sz w:val="32"/>
          <w:szCs w:val="32"/>
        </w:rPr>
      </w:pPr>
    </w:p>
    <w:p w14:paraId="34DAC212">
      <w:pPr>
        <w:keepNext w:val="0"/>
        <w:keepLines w:val="0"/>
        <w:pageBreakBefore w:val="0"/>
        <w:kinsoku/>
        <w:wordWrap/>
        <w:overflowPunct/>
        <w:topLinePunct w:val="0"/>
        <w:autoSpaceDE/>
        <w:autoSpaceDN/>
        <w:bidi w:val="0"/>
        <w:adjustRightInd/>
        <w:snapToGrid/>
        <w:spacing w:line="579" w:lineRule="exact"/>
        <w:ind w:firstLine="640" w:firstLineChars="20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湖北省卫生健康宣传教育中心</w:t>
      </w:r>
    </w:p>
    <w:p w14:paraId="61354F9A">
      <w:pPr>
        <w:keepNext w:val="0"/>
        <w:keepLines w:val="0"/>
        <w:pageBreakBefore w:val="0"/>
        <w:kinsoku/>
        <w:wordWrap/>
        <w:overflowPunct/>
        <w:topLinePunct w:val="0"/>
        <w:autoSpaceDE/>
        <w:autoSpaceDN/>
        <w:bidi w:val="0"/>
        <w:adjustRightInd/>
        <w:snapToGrid/>
        <w:spacing w:line="579"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2025年1月14日</w:t>
      </w:r>
    </w:p>
    <w:p w14:paraId="765D4273">
      <w:pPr>
        <w:spacing w:line="360" w:lineRule="auto"/>
        <w:ind w:firstLine="723"/>
        <w:jc w:val="center"/>
        <w:rPr>
          <w:rFonts w:hint="eastAsia" w:ascii="宋体" w:hAnsi="宋体" w:cs="宋体"/>
          <w:b/>
          <w:bCs/>
          <w:sz w:val="36"/>
          <w:szCs w:val="36"/>
        </w:rPr>
        <w:sectPr>
          <w:headerReference r:id="rId3" w:type="default"/>
          <w:footerReference r:id="rId4" w:type="default"/>
          <w:pgSz w:w="11906" w:h="16838"/>
          <w:pgMar w:top="1701" w:right="1531" w:bottom="1134" w:left="1531" w:header="851" w:footer="992" w:gutter="0"/>
          <w:cols w:space="720" w:num="1"/>
          <w:docGrid w:type="lines" w:linePitch="312" w:charSpace="0"/>
        </w:sectPr>
      </w:pPr>
    </w:p>
    <w:p w14:paraId="69F71604">
      <w:pPr>
        <w:spacing w:line="360" w:lineRule="auto"/>
        <w:rPr>
          <w:rFonts w:hint="eastAsia" w:ascii="宋体" w:hAnsi="宋体" w:eastAsia="黑体" w:cs="宋体"/>
          <w:b/>
          <w:bCs/>
          <w:sz w:val="36"/>
          <w:szCs w:val="36"/>
          <w:lang w:val="en-US" w:eastAsia="zh-CN"/>
        </w:rPr>
      </w:pPr>
      <w:r>
        <w:rPr>
          <w:rFonts w:hint="eastAsia" w:ascii="宋体" w:hAnsi="宋体" w:eastAsia="黑体"/>
          <w:bCs/>
          <w:sz w:val="32"/>
          <w:szCs w:val="32"/>
        </w:rPr>
        <w:t>附件</w:t>
      </w:r>
      <w:r>
        <w:rPr>
          <w:rFonts w:hint="eastAsia" w:ascii="宋体" w:hAnsi="宋体" w:eastAsia="黑体"/>
          <w:bCs/>
          <w:sz w:val="32"/>
          <w:szCs w:val="32"/>
          <w:lang w:val="en-US" w:eastAsia="zh-CN"/>
        </w:rPr>
        <w:t>2</w:t>
      </w:r>
    </w:p>
    <w:tbl>
      <w:tblPr>
        <w:tblStyle w:val="6"/>
        <w:tblpPr w:leftFromText="180" w:rightFromText="180" w:vertAnchor="text" w:horzAnchor="page" w:tblpX="1551" w:tblpY="762"/>
        <w:tblOverlap w:val="never"/>
        <w:tblW w:w="136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6"/>
        <w:gridCol w:w="1259"/>
        <w:gridCol w:w="20"/>
        <w:gridCol w:w="1418"/>
        <w:gridCol w:w="637"/>
        <w:gridCol w:w="2175"/>
        <w:gridCol w:w="3250"/>
        <w:gridCol w:w="976"/>
        <w:gridCol w:w="899"/>
        <w:gridCol w:w="1065"/>
        <w:gridCol w:w="885"/>
      </w:tblGrid>
      <w:tr w14:paraId="047B5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13660" w:type="dxa"/>
            <w:gridSpan w:val="11"/>
            <w:noWrap w:val="0"/>
            <w:vAlign w:val="top"/>
          </w:tcPr>
          <w:p w14:paraId="7FC2BD9B">
            <w:pPr>
              <w:spacing w:line="400" w:lineRule="exact"/>
              <w:rPr>
                <w:rFonts w:hint="default" w:ascii="仿宋_GB2312" w:eastAsia="仿宋_GB2312"/>
                <w:sz w:val="24"/>
                <w:szCs w:val="24"/>
                <w:lang w:val="en-US" w:eastAsia="zh-CN"/>
              </w:rPr>
            </w:pPr>
            <w:r>
              <w:rPr>
                <w:rFonts w:hint="eastAsia" w:ascii="仿宋_GB2312" w:eastAsia="仿宋_GB2312"/>
                <w:sz w:val="24"/>
                <w:szCs w:val="24"/>
                <w:u w:val="none"/>
              </w:rPr>
              <w:t>采购单位：</w:t>
            </w:r>
            <w:r>
              <w:rPr>
                <w:rFonts w:hint="eastAsia" w:ascii="仿宋_GB2312" w:eastAsia="仿宋_GB2312"/>
                <w:b/>
                <w:bCs/>
                <w:sz w:val="24"/>
                <w:szCs w:val="24"/>
                <w:u w:val="none"/>
              </w:rPr>
              <w:t>湖北省卫生</w:t>
            </w:r>
            <w:r>
              <w:rPr>
                <w:rFonts w:hint="eastAsia" w:ascii="仿宋_GB2312" w:eastAsia="仿宋_GB2312"/>
                <w:b/>
                <w:bCs/>
                <w:sz w:val="24"/>
                <w:szCs w:val="24"/>
                <w:u w:val="none"/>
                <w:lang w:eastAsia="zh-CN"/>
              </w:rPr>
              <w:t>健康</w:t>
            </w:r>
            <w:r>
              <w:rPr>
                <w:rFonts w:hint="eastAsia" w:ascii="仿宋_GB2312" w:eastAsia="仿宋_GB2312"/>
                <w:b/>
                <w:bCs/>
                <w:sz w:val="24"/>
                <w:szCs w:val="24"/>
                <w:u w:val="none"/>
              </w:rPr>
              <w:t>宣传教育中心</w:t>
            </w:r>
            <w:r>
              <w:rPr>
                <w:rFonts w:hint="eastAsia" w:ascii="仿宋_GB2312" w:eastAsia="仿宋_GB2312"/>
                <w:sz w:val="24"/>
                <w:szCs w:val="24"/>
                <w:u w:val="none"/>
              </w:rPr>
              <w:t xml:space="preserve">  </w:t>
            </w:r>
            <w:r>
              <w:rPr>
                <w:rFonts w:hint="eastAsia" w:ascii="仿宋_GB2312" w:eastAsia="仿宋_GB2312"/>
                <w:sz w:val="24"/>
                <w:szCs w:val="24"/>
                <w:u w:val="none"/>
                <w:lang w:val="en-US" w:eastAsia="zh-CN"/>
              </w:rPr>
              <w:t xml:space="preserve">                                              时间：2025年1月   日</w:t>
            </w:r>
          </w:p>
        </w:tc>
      </w:tr>
      <w:tr w14:paraId="3C32B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4410" w:type="dxa"/>
            <w:gridSpan w:val="5"/>
            <w:noWrap w:val="0"/>
            <w:vAlign w:val="top"/>
          </w:tcPr>
          <w:p w14:paraId="33F9B2D4">
            <w:pPr>
              <w:spacing w:line="400" w:lineRule="exact"/>
              <w:rPr>
                <w:rFonts w:hint="eastAsia" w:ascii="仿宋_GB2312" w:eastAsia="仿宋_GB2312"/>
                <w:sz w:val="24"/>
                <w:szCs w:val="24"/>
              </w:rPr>
            </w:pPr>
            <w:r>
              <w:rPr>
                <w:rFonts w:hint="eastAsia" w:ascii="仿宋_GB2312" w:eastAsia="仿宋_GB2312"/>
                <w:sz w:val="24"/>
                <w:szCs w:val="24"/>
              </w:rPr>
              <w:t>联系人：曾勇</w:t>
            </w:r>
          </w:p>
        </w:tc>
        <w:tc>
          <w:tcPr>
            <w:tcW w:w="6401" w:type="dxa"/>
            <w:gridSpan w:val="3"/>
            <w:noWrap w:val="0"/>
            <w:vAlign w:val="top"/>
          </w:tcPr>
          <w:p w14:paraId="492C7306">
            <w:pPr>
              <w:spacing w:line="400" w:lineRule="exact"/>
              <w:rPr>
                <w:rFonts w:hint="default" w:ascii="仿宋_GB2312" w:eastAsia="仿宋_GB2312"/>
                <w:sz w:val="24"/>
                <w:szCs w:val="24"/>
                <w:lang w:val="en-US" w:eastAsia="zh-CN"/>
              </w:rPr>
            </w:pPr>
            <w:r>
              <w:rPr>
                <w:rFonts w:hint="eastAsia" w:ascii="仿宋_GB2312" w:eastAsia="仿宋_GB2312"/>
                <w:sz w:val="24"/>
                <w:szCs w:val="24"/>
              </w:rPr>
              <w:t>联系电话：027-872389</w:t>
            </w:r>
            <w:r>
              <w:rPr>
                <w:rFonts w:hint="eastAsia" w:ascii="仿宋_GB2312" w:eastAsia="仿宋_GB2312"/>
                <w:sz w:val="24"/>
                <w:szCs w:val="24"/>
                <w:lang w:val="en-US" w:eastAsia="zh-CN"/>
              </w:rPr>
              <w:t>30</w:t>
            </w:r>
          </w:p>
        </w:tc>
        <w:tc>
          <w:tcPr>
            <w:tcW w:w="2849" w:type="dxa"/>
            <w:gridSpan w:val="3"/>
            <w:noWrap w:val="0"/>
            <w:vAlign w:val="top"/>
          </w:tcPr>
          <w:p w14:paraId="2006F753">
            <w:pPr>
              <w:spacing w:line="400" w:lineRule="exact"/>
              <w:rPr>
                <w:rFonts w:ascii="仿宋_GB2312" w:eastAsia="仿宋_GB2312"/>
                <w:sz w:val="24"/>
                <w:szCs w:val="24"/>
              </w:rPr>
            </w:pPr>
            <w:r>
              <w:rPr>
                <w:rFonts w:hint="eastAsia" w:ascii="仿宋_GB2312" w:eastAsia="仿宋_GB2312"/>
                <w:sz w:val="24"/>
                <w:szCs w:val="24"/>
              </w:rPr>
              <w:t>传真：</w:t>
            </w:r>
          </w:p>
        </w:tc>
      </w:tr>
      <w:tr w14:paraId="7D9FE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0" w:hRule="atLeast"/>
        </w:trPr>
        <w:tc>
          <w:tcPr>
            <w:tcW w:w="1076" w:type="dxa"/>
            <w:vMerge w:val="restart"/>
            <w:noWrap w:val="0"/>
            <w:vAlign w:val="center"/>
          </w:tcPr>
          <w:p w14:paraId="0781A5E9">
            <w:pPr>
              <w:spacing w:line="400" w:lineRule="exact"/>
              <w:jc w:val="center"/>
              <w:rPr>
                <w:rFonts w:ascii="仿宋_GB2312" w:eastAsia="仿宋_GB2312"/>
                <w:sz w:val="24"/>
                <w:szCs w:val="24"/>
              </w:rPr>
            </w:pPr>
            <w:r>
              <w:rPr>
                <w:rFonts w:hint="eastAsia" w:ascii="仿宋_GB2312" w:eastAsia="仿宋_GB2312"/>
                <w:sz w:val="24"/>
                <w:szCs w:val="24"/>
              </w:rPr>
              <w:t>采 购</w:t>
            </w:r>
          </w:p>
          <w:p w14:paraId="0D77FA53">
            <w:pPr>
              <w:spacing w:line="400" w:lineRule="exact"/>
              <w:jc w:val="center"/>
              <w:rPr>
                <w:rFonts w:ascii="仿宋_GB2312" w:eastAsia="仿宋_GB2312"/>
                <w:sz w:val="24"/>
                <w:szCs w:val="24"/>
              </w:rPr>
            </w:pPr>
            <w:r>
              <w:rPr>
                <w:rFonts w:hint="eastAsia" w:ascii="仿宋_GB2312" w:eastAsia="仿宋_GB2312"/>
                <w:sz w:val="24"/>
                <w:szCs w:val="24"/>
              </w:rPr>
              <w:t>需 求</w:t>
            </w:r>
          </w:p>
        </w:tc>
        <w:tc>
          <w:tcPr>
            <w:tcW w:w="1259" w:type="dxa"/>
            <w:noWrap w:val="0"/>
            <w:vAlign w:val="center"/>
          </w:tcPr>
          <w:p w14:paraId="42B2D829">
            <w:pPr>
              <w:spacing w:line="400" w:lineRule="exact"/>
              <w:jc w:val="center"/>
              <w:rPr>
                <w:rFonts w:ascii="仿宋_GB2312" w:eastAsia="仿宋_GB2312"/>
                <w:sz w:val="24"/>
                <w:szCs w:val="24"/>
              </w:rPr>
            </w:pPr>
            <w:r>
              <w:rPr>
                <w:rFonts w:hint="eastAsia" w:ascii="仿宋_GB2312" w:eastAsia="仿宋_GB2312" w:cs="Times New Roman"/>
                <w:sz w:val="24"/>
                <w:szCs w:val="24"/>
                <w:lang w:val="en-US" w:eastAsia="zh-CN"/>
              </w:rPr>
              <w:t>商品（服务）名</w:t>
            </w:r>
            <w:r>
              <w:rPr>
                <w:rFonts w:hint="eastAsia" w:ascii="仿宋_GB2312" w:eastAsia="仿宋_GB2312"/>
                <w:sz w:val="24"/>
                <w:szCs w:val="24"/>
              </w:rPr>
              <w:t>称</w:t>
            </w:r>
          </w:p>
        </w:tc>
        <w:tc>
          <w:tcPr>
            <w:tcW w:w="7500" w:type="dxa"/>
            <w:gridSpan w:val="5"/>
            <w:noWrap w:val="0"/>
            <w:vAlign w:val="center"/>
          </w:tcPr>
          <w:p w14:paraId="059B63DA">
            <w:pPr>
              <w:spacing w:line="400" w:lineRule="exact"/>
              <w:jc w:val="center"/>
              <w:rPr>
                <w:rFonts w:hint="default" w:ascii="仿宋_GB2312" w:eastAsia="仿宋_GB2312"/>
                <w:sz w:val="24"/>
                <w:szCs w:val="24"/>
                <w:lang w:val="en-US" w:eastAsia="zh-CN"/>
              </w:rPr>
            </w:pPr>
            <w:r>
              <w:rPr>
                <w:rFonts w:hint="eastAsia" w:ascii="仿宋_GB2312" w:eastAsia="仿宋_GB2312"/>
                <w:sz w:val="24"/>
                <w:szCs w:val="24"/>
                <w:lang w:val="en-US" w:eastAsia="zh-CN"/>
              </w:rPr>
              <w:t>服务要求</w:t>
            </w:r>
          </w:p>
        </w:tc>
        <w:tc>
          <w:tcPr>
            <w:tcW w:w="976" w:type="dxa"/>
            <w:noWrap w:val="0"/>
            <w:vAlign w:val="center"/>
          </w:tcPr>
          <w:p w14:paraId="0997394D">
            <w:pPr>
              <w:spacing w:line="400" w:lineRule="exact"/>
              <w:jc w:val="center"/>
              <w:rPr>
                <w:rFonts w:ascii="仿宋_GB2312" w:eastAsia="仿宋_GB2312"/>
                <w:sz w:val="24"/>
                <w:szCs w:val="24"/>
              </w:rPr>
            </w:pPr>
            <w:r>
              <w:rPr>
                <w:rFonts w:hint="eastAsia" w:ascii="仿宋_GB2312" w:eastAsia="仿宋_GB2312"/>
                <w:sz w:val="24"/>
                <w:szCs w:val="24"/>
              </w:rPr>
              <w:t>预算总额（元）</w:t>
            </w:r>
          </w:p>
        </w:tc>
        <w:tc>
          <w:tcPr>
            <w:tcW w:w="899" w:type="dxa"/>
            <w:noWrap w:val="0"/>
            <w:vAlign w:val="center"/>
          </w:tcPr>
          <w:p w14:paraId="0425728B">
            <w:pPr>
              <w:spacing w:line="400" w:lineRule="exact"/>
              <w:jc w:val="center"/>
              <w:rPr>
                <w:rFonts w:ascii="仿宋_GB2312" w:eastAsia="仿宋_GB2312"/>
                <w:sz w:val="24"/>
                <w:szCs w:val="24"/>
              </w:rPr>
            </w:pPr>
            <w:r>
              <w:rPr>
                <w:rFonts w:hint="eastAsia" w:ascii="仿宋_GB2312" w:eastAsia="仿宋_GB2312"/>
                <w:sz w:val="24"/>
                <w:szCs w:val="24"/>
              </w:rPr>
              <w:t>供货时间</w:t>
            </w:r>
          </w:p>
        </w:tc>
        <w:tc>
          <w:tcPr>
            <w:tcW w:w="1065" w:type="dxa"/>
            <w:noWrap w:val="0"/>
            <w:vAlign w:val="center"/>
          </w:tcPr>
          <w:p w14:paraId="19CFCC83">
            <w:pPr>
              <w:spacing w:line="400" w:lineRule="exact"/>
              <w:jc w:val="center"/>
              <w:rPr>
                <w:rFonts w:hint="eastAsia" w:ascii="仿宋_GB2312" w:eastAsia="仿宋_GB2312"/>
                <w:sz w:val="24"/>
                <w:szCs w:val="24"/>
              </w:rPr>
            </w:pPr>
            <w:r>
              <w:rPr>
                <w:rFonts w:hint="eastAsia" w:ascii="仿宋_GB2312" w:eastAsia="仿宋_GB2312"/>
                <w:sz w:val="24"/>
                <w:szCs w:val="24"/>
              </w:rPr>
              <w:t>供货</w:t>
            </w:r>
          </w:p>
          <w:p w14:paraId="48E8995D">
            <w:pPr>
              <w:spacing w:line="400" w:lineRule="exact"/>
              <w:jc w:val="center"/>
              <w:rPr>
                <w:rFonts w:ascii="仿宋_GB2312" w:eastAsia="仿宋_GB2312"/>
                <w:sz w:val="24"/>
                <w:szCs w:val="24"/>
              </w:rPr>
            </w:pPr>
            <w:r>
              <w:rPr>
                <w:rFonts w:hint="eastAsia" w:ascii="仿宋_GB2312" w:eastAsia="仿宋_GB2312"/>
                <w:sz w:val="24"/>
                <w:szCs w:val="24"/>
              </w:rPr>
              <w:t>地点</w:t>
            </w:r>
          </w:p>
        </w:tc>
        <w:tc>
          <w:tcPr>
            <w:tcW w:w="885" w:type="dxa"/>
            <w:noWrap w:val="0"/>
            <w:vAlign w:val="center"/>
          </w:tcPr>
          <w:p w14:paraId="5D8A6654">
            <w:pPr>
              <w:spacing w:line="400" w:lineRule="exact"/>
              <w:jc w:val="center"/>
              <w:rPr>
                <w:rFonts w:ascii="仿宋_GB2312" w:eastAsia="仿宋_GB2312"/>
                <w:sz w:val="24"/>
                <w:szCs w:val="24"/>
              </w:rPr>
            </w:pPr>
            <w:r>
              <w:rPr>
                <w:rFonts w:hint="eastAsia" w:ascii="仿宋_GB2312" w:eastAsia="仿宋_GB2312"/>
                <w:sz w:val="24"/>
                <w:szCs w:val="24"/>
              </w:rPr>
              <w:t>备注</w:t>
            </w:r>
          </w:p>
        </w:tc>
      </w:tr>
      <w:tr w14:paraId="1822D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5" w:hRule="atLeast"/>
        </w:trPr>
        <w:tc>
          <w:tcPr>
            <w:tcW w:w="1076" w:type="dxa"/>
            <w:vMerge w:val="continue"/>
            <w:noWrap w:val="0"/>
            <w:vAlign w:val="center"/>
          </w:tcPr>
          <w:p w14:paraId="27F7D404">
            <w:pPr>
              <w:spacing w:line="400" w:lineRule="exact"/>
              <w:rPr>
                <w:rFonts w:ascii="仿宋_GB2312" w:eastAsia="仿宋_GB2312"/>
                <w:sz w:val="24"/>
                <w:szCs w:val="24"/>
              </w:rPr>
            </w:pPr>
          </w:p>
        </w:tc>
        <w:tc>
          <w:tcPr>
            <w:tcW w:w="1259" w:type="dxa"/>
            <w:noWrap w:val="0"/>
            <w:vAlign w:val="center"/>
          </w:tcPr>
          <w:p w14:paraId="4B636432">
            <w:pPr>
              <w:spacing w:line="400" w:lineRule="exact"/>
              <w:jc w:val="left"/>
              <w:rPr>
                <w:rFonts w:hint="default" w:ascii="仿宋_GB2312" w:eastAsia="仿宋_GB2312"/>
                <w:sz w:val="24"/>
                <w:szCs w:val="24"/>
                <w:lang w:val="en-US" w:eastAsia="zh-CN"/>
              </w:rPr>
            </w:pPr>
            <w:r>
              <w:rPr>
                <w:rFonts w:hint="eastAsia" w:ascii="仿宋_GB2312" w:eastAsia="仿宋_GB2312" w:cs="Times New Roman"/>
                <w:sz w:val="24"/>
                <w:szCs w:val="24"/>
              </w:rPr>
              <w:t>《健康湖北》202</w:t>
            </w:r>
            <w:r>
              <w:rPr>
                <w:rFonts w:hint="eastAsia" w:ascii="仿宋_GB2312" w:eastAsia="仿宋_GB2312" w:cs="Times New Roman"/>
                <w:sz w:val="24"/>
                <w:szCs w:val="24"/>
                <w:lang w:val="en-US" w:eastAsia="zh-CN"/>
              </w:rPr>
              <w:t>4</w:t>
            </w:r>
            <w:r>
              <w:rPr>
                <w:rFonts w:hint="eastAsia" w:ascii="仿宋_GB2312" w:eastAsia="仿宋_GB2312" w:cs="Times New Roman"/>
                <w:sz w:val="24"/>
                <w:szCs w:val="24"/>
              </w:rPr>
              <w:t>年</w:t>
            </w:r>
            <w:r>
              <w:rPr>
                <w:rFonts w:hint="eastAsia" w:ascii="仿宋_GB2312" w:eastAsia="仿宋_GB2312" w:cs="Times New Roman"/>
                <w:sz w:val="24"/>
                <w:szCs w:val="24"/>
                <w:lang w:eastAsia="zh-CN"/>
              </w:rPr>
              <w:t>第</w:t>
            </w:r>
            <w:r>
              <w:rPr>
                <w:rFonts w:hint="eastAsia" w:ascii="仿宋_GB2312" w:eastAsia="仿宋_GB2312" w:cs="Times New Roman"/>
                <w:sz w:val="24"/>
                <w:szCs w:val="24"/>
                <w:lang w:val="en-US" w:eastAsia="zh-CN"/>
              </w:rPr>
              <w:t>11期至2025年第10期</w:t>
            </w:r>
            <w:r>
              <w:rPr>
                <w:rFonts w:hint="eastAsia" w:ascii="仿宋_GB2312" w:eastAsia="仿宋_GB2312" w:cs="Times New Roman"/>
                <w:sz w:val="24"/>
                <w:szCs w:val="24"/>
              </w:rPr>
              <w:t>邮寄</w:t>
            </w:r>
            <w:r>
              <w:rPr>
                <w:rFonts w:hint="eastAsia" w:ascii="仿宋_GB2312" w:eastAsia="仿宋_GB2312" w:cs="Times New Roman"/>
                <w:sz w:val="24"/>
                <w:szCs w:val="24"/>
                <w:lang w:val="en-US" w:eastAsia="zh-CN"/>
              </w:rPr>
              <w:t>服务</w:t>
            </w:r>
            <w:r>
              <w:rPr>
                <w:rFonts w:hint="eastAsia" w:ascii="仿宋_GB2312" w:hAnsi="仿宋" w:eastAsia="仿宋_GB2312" w:cs="仿宋"/>
                <w:bCs/>
                <w:kern w:val="0"/>
                <w:sz w:val="24"/>
                <w:szCs w:val="24"/>
                <w:lang w:eastAsia="zh-CN"/>
              </w:rPr>
              <w:t>询价</w:t>
            </w:r>
            <w:r>
              <w:rPr>
                <w:rFonts w:hint="eastAsia" w:ascii="仿宋_GB2312" w:hAnsi="仿宋" w:eastAsia="仿宋_GB2312" w:cs="仿宋"/>
                <w:bCs/>
                <w:kern w:val="0"/>
                <w:sz w:val="24"/>
                <w:szCs w:val="24"/>
                <w:lang w:val="en-US" w:eastAsia="zh-CN"/>
              </w:rPr>
              <w:t>项目</w:t>
            </w:r>
          </w:p>
        </w:tc>
        <w:tc>
          <w:tcPr>
            <w:tcW w:w="7500" w:type="dxa"/>
            <w:gridSpan w:val="5"/>
            <w:noWrap w:val="0"/>
            <w:vAlign w:val="center"/>
          </w:tcPr>
          <w:p w14:paraId="7361BB51">
            <w:pPr>
              <w:numPr>
                <w:ilvl w:val="0"/>
                <w:numId w:val="1"/>
              </w:numPr>
              <w:spacing w:line="400" w:lineRule="exact"/>
              <w:rPr>
                <w:rFonts w:hint="eastAsia" w:ascii="仿宋_GB2312" w:eastAsia="仿宋_GB2312"/>
                <w:sz w:val="24"/>
                <w:lang w:eastAsia="zh-CN"/>
              </w:rPr>
            </w:pPr>
            <w:r>
              <w:rPr>
                <w:rFonts w:hint="eastAsia" w:ascii="仿宋_GB2312" w:eastAsia="仿宋_GB2312"/>
                <w:sz w:val="24"/>
              </w:rPr>
              <w:t>12期出版物，每期邮寄约6800本，每期约3500个投递地址 。</w:t>
            </w:r>
            <w:r>
              <w:rPr>
                <w:rFonts w:hint="eastAsia" w:ascii="仿宋_GB2312" w:eastAsia="仿宋_GB2312"/>
                <w:sz w:val="24"/>
                <w:lang w:val="en-US" w:eastAsia="zh-CN"/>
              </w:rPr>
              <w:t>其中，</w:t>
            </w:r>
            <w:r>
              <w:rPr>
                <w:rFonts w:hint="eastAsia" w:ascii="仿宋_GB2312" w:eastAsia="仿宋_GB2312"/>
                <w:sz w:val="24"/>
              </w:rPr>
              <w:t>同城快递约560个地址</w:t>
            </w:r>
            <w:r>
              <w:rPr>
                <w:rFonts w:hint="eastAsia" w:ascii="仿宋_GB2312" w:eastAsia="仿宋_GB2312"/>
                <w:sz w:val="24"/>
                <w:lang w:eastAsia="zh-CN"/>
              </w:rPr>
              <w:t>，</w:t>
            </w:r>
            <w:r>
              <w:rPr>
                <w:rFonts w:hint="eastAsia" w:ascii="仿宋_GB2312" w:eastAsia="仿宋_GB2312"/>
                <w:sz w:val="24"/>
              </w:rPr>
              <w:t>省内除恩施州外约2700个地址</w:t>
            </w:r>
            <w:r>
              <w:rPr>
                <w:rFonts w:hint="eastAsia" w:ascii="仿宋_GB2312" w:eastAsia="仿宋_GB2312"/>
                <w:sz w:val="24"/>
                <w:lang w:eastAsia="zh-CN"/>
              </w:rPr>
              <w:t>。</w:t>
            </w:r>
          </w:p>
          <w:p w14:paraId="7F170F0A">
            <w:pPr>
              <w:numPr>
                <w:ilvl w:val="-1"/>
                <w:numId w:val="0"/>
              </w:numPr>
              <w:spacing w:line="400" w:lineRule="exact"/>
              <w:rPr>
                <w:rFonts w:hint="eastAsia" w:ascii="仿宋_GB2312" w:eastAsia="仿宋_GB2312"/>
                <w:sz w:val="24"/>
              </w:rPr>
            </w:pPr>
            <w:r>
              <w:rPr>
                <w:rFonts w:hint="eastAsia" w:ascii="仿宋_GB2312" w:eastAsia="仿宋_GB2312"/>
                <w:sz w:val="24"/>
              </w:rPr>
              <w:t>2.邮寄服务项目包括出版物接收、打包前的随叫随到地搬运（每期派车送500本该印品到指定地点）</w:t>
            </w:r>
            <w:r>
              <w:rPr>
                <w:rFonts w:hint="eastAsia" w:ascii="仿宋_GB2312" w:eastAsia="仿宋_GB2312"/>
                <w:sz w:val="24"/>
                <w:lang w:eastAsia="zh-CN"/>
              </w:rPr>
              <w:t>、</w:t>
            </w:r>
            <w:r>
              <w:rPr>
                <w:rFonts w:hint="eastAsia" w:ascii="仿宋_GB2312" w:eastAsia="仿宋_GB2312"/>
                <w:sz w:val="24"/>
              </w:rPr>
              <w:t>仓库储存、包装材料、运输邮寄及后期查询反馈工作等方面。上述费用及相关人工费用都包括在总预算之内，不再另外支付费用。</w:t>
            </w:r>
          </w:p>
          <w:p w14:paraId="78A90A08">
            <w:pPr>
              <w:spacing w:line="400" w:lineRule="exact"/>
              <w:rPr>
                <w:rFonts w:hint="eastAsia" w:ascii="仿宋_GB2312" w:eastAsia="仿宋_GB2312"/>
                <w:sz w:val="24"/>
              </w:rPr>
            </w:pPr>
            <w:r>
              <w:rPr>
                <w:rFonts w:hint="eastAsia" w:ascii="仿宋_GB2312" w:eastAsia="仿宋_GB2312"/>
                <w:sz w:val="24"/>
              </w:rPr>
              <w:t>3.每期印品寄出后及时提供准确完整的单号信息 。</w:t>
            </w:r>
          </w:p>
          <w:p w14:paraId="3A4A5AD2">
            <w:pPr>
              <w:spacing w:line="400" w:lineRule="exact"/>
              <w:rPr>
                <w:rFonts w:hint="eastAsia" w:ascii="仿宋_GB2312" w:eastAsia="仿宋_GB2312"/>
                <w:sz w:val="24"/>
              </w:rPr>
            </w:pPr>
            <w:r>
              <w:rPr>
                <w:rFonts w:hint="eastAsia" w:ascii="仿宋_GB2312" w:eastAsia="仿宋_GB2312"/>
                <w:sz w:val="24"/>
              </w:rPr>
              <w:t>4.有专门的客服提供邮件查询服务。</w:t>
            </w:r>
          </w:p>
          <w:p w14:paraId="60DA6DCB">
            <w:pPr>
              <w:spacing w:line="400" w:lineRule="exact"/>
              <w:rPr>
                <w:rFonts w:hint="eastAsia" w:ascii="仿宋_GB2312" w:eastAsia="仿宋_GB2312"/>
                <w:sz w:val="24"/>
                <w:szCs w:val="24"/>
                <w:lang w:eastAsia="zh-CN"/>
              </w:rPr>
            </w:pPr>
            <w:r>
              <w:rPr>
                <w:rFonts w:hint="eastAsia" w:ascii="仿宋_GB2312" w:eastAsia="仿宋_GB2312"/>
                <w:sz w:val="24"/>
              </w:rPr>
              <w:t>5.非工作日和一般节假日也要保证正常发货和反馈信息。</w:t>
            </w:r>
          </w:p>
        </w:tc>
        <w:tc>
          <w:tcPr>
            <w:tcW w:w="976" w:type="dxa"/>
            <w:noWrap w:val="0"/>
            <w:vAlign w:val="center"/>
          </w:tcPr>
          <w:p w14:paraId="53E3ABF0">
            <w:pPr>
              <w:spacing w:line="400" w:lineRule="exact"/>
              <w:jc w:val="center"/>
              <w:rPr>
                <w:rFonts w:ascii="仿宋_GB2312" w:eastAsia="仿宋_GB2312"/>
                <w:sz w:val="24"/>
                <w:szCs w:val="24"/>
              </w:rPr>
            </w:pPr>
            <w:r>
              <w:rPr>
                <w:rFonts w:hint="eastAsia" w:ascii="仿宋_GB2312" w:eastAsia="仿宋_GB2312"/>
                <w:color w:val="auto"/>
                <w:sz w:val="24"/>
                <w:szCs w:val="24"/>
                <w:lang w:val="en-US" w:eastAsia="zh-CN"/>
              </w:rPr>
              <w:t>￥34</w:t>
            </w:r>
            <w:r>
              <w:rPr>
                <w:rFonts w:hint="eastAsia" w:ascii="仿宋_GB2312" w:eastAsia="仿宋_GB2312"/>
                <w:color w:val="auto"/>
                <w:sz w:val="24"/>
                <w:szCs w:val="24"/>
              </w:rPr>
              <w:t>万元</w:t>
            </w:r>
          </w:p>
        </w:tc>
        <w:tc>
          <w:tcPr>
            <w:tcW w:w="899" w:type="dxa"/>
            <w:noWrap w:val="0"/>
            <w:vAlign w:val="center"/>
          </w:tcPr>
          <w:p w14:paraId="7D7FD831">
            <w:pPr>
              <w:spacing w:line="400" w:lineRule="exact"/>
              <w:jc w:val="left"/>
              <w:rPr>
                <w:rFonts w:hint="default" w:ascii="仿宋_GB2312" w:eastAsia="仿宋_GB2312"/>
                <w:sz w:val="24"/>
                <w:szCs w:val="24"/>
                <w:lang w:val="en-US" w:eastAsia="zh-CN"/>
              </w:rPr>
            </w:pPr>
            <w:r>
              <w:rPr>
                <w:rFonts w:hint="eastAsia" w:ascii="仿宋_GB2312" w:eastAsia="仿宋_GB2312"/>
                <w:sz w:val="24"/>
                <w:szCs w:val="24"/>
              </w:rPr>
              <w:t xml:space="preserve"> </w:t>
            </w:r>
            <w:r>
              <w:rPr>
                <w:rFonts w:hint="eastAsia" w:ascii="仿宋_GB2312" w:eastAsia="仿宋_GB2312"/>
                <w:sz w:val="24"/>
                <w:szCs w:val="24"/>
                <w:lang w:eastAsia="zh-CN"/>
              </w:rPr>
              <w:t>收到</w:t>
            </w:r>
            <w:r>
              <w:rPr>
                <w:rFonts w:hint="eastAsia" w:ascii="仿宋_GB2312" w:eastAsia="仿宋_GB2312"/>
                <w:sz w:val="24"/>
                <w:szCs w:val="24"/>
                <w:lang w:val="en-US" w:eastAsia="zh-CN"/>
              </w:rPr>
              <w:t>该印刷品</w:t>
            </w:r>
            <w:r>
              <w:rPr>
                <w:rFonts w:hint="eastAsia" w:ascii="仿宋_GB2312" w:eastAsia="仿宋_GB2312"/>
                <w:sz w:val="24"/>
                <w:szCs w:val="24"/>
                <w:lang w:eastAsia="zh-CN"/>
              </w:rPr>
              <w:t>后</w:t>
            </w:r>
            <w:r>
              <w:rPr>
                <w:rFonts w:hint="eastAsia" w:ascii="仿宋_GB2312" w:eastAsia="仿宋_GB2312"/>
                <w:sz w:val="24"/>
                <w:szCs w:val="24"/>
                <w:lang w:val="en-US" w:eastAsia="zh-CN"/>
              </w:rPr>
              <w:t>5—6天</w:t>
            </w:r>
          </w:p>
        </w:tc>
        <w:tc>
          <w:tcPr>
            <w:tcW w:w="1065" w:type="dxa"/>
            <w:noWrap w:val="0"/>
            <w:vAlign w:val="center"/>
          </w:tcPr>
          <w:p w14:paraId="57A92319">
            <w:pPr>
              <w:spacing w:line="400" w:lineRule="exact"/>
              <w:jc w:val="left"/>
              <w:rPr>
                <w:rFonts w:hint="eastAsia" w:ascii="仿宋_GB2312" w:eastAsia="仿宋_GB2312"/>
                <w:sz w:val="24"/>
                <w:szCs w:val="24"/>
                <w:lang w:val="en-US" w:eastAsia="zh-CN"/>
              </w:rPr>
            </w:pPr>
            <w:r>
              <w:rPr>
                <w:rFonts w:hint="eastAsia" w:ascii="仿宋_GB2312" w:eastAsia="仿宋_GB2312"/>
                <w:sz w:val="24"/>
                <w:szCs w:val="24"/>
                <w:lang w:val="en-US" w:eastAsia="zh-CN"/>
              </w:rPr>
              <w:t>送到指定地点</w:t>
            </w:r>
          </w:p>
        </w:tc>
        <w:tc>
          <w:tcPr>
            <w:tcW w:w="885" w:type="dxa"/>
            <w:noWrap w:val="0"/>
            <w:vAlign w:val="center"/>
          </w:tcPr>
          <w:p w14:paraId="639853EE">
            <w:pPr>
              <w:spacing w:line="400" w:lineRule="exact"/>
              <w:jc w:val="left"/>
              <w:rPr>
                <w:rFonts w:hint="eastAsia" w:ascii="仿宋_GB2312" w:eastAsia="仿宋_GB2312"/>
                <w:sz w:val="24"/>
                <w:szCs w:val="24"/>
                <w:lang w:eastAsia="zh-CN"/>
              </w:rPr>
            </w:pPr>
          </w:p>
        </w:tc>
      </w:tr>
      <w:tr w14:paraId="59204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trPr>
        <w:tc>
          <w:tcPr>
            <w:tcW w:w="2355" w:type="dxa"/>
            <w:gridSpan w:val="3"/>
            <w:noWrap w:val="0"/>
            <w:vAlign w:val="center"/>
          </w:tcPr>
          <w:p w14:paraId="2D6BF0B5">
            <w:pPr>
              <w:spacing w:line="400" w:lineRule="exact"/>
              <w:jc w:val="center"/>
              <w:rPr>
                <w:rFonts w:ascii="仿宋_GB2312" w:eastAsia="仿宋_GB2312"/>
                <w:sz w:val="24"/>
                <w:szCs w:val="24"/>
              </w:rPr>
            </w:pPr>
            <w:r>
              <w:rPr>
                <w:rFonts w:hint="eastAsia" w:ascii="仿宋_GB2312" w:eastAsia="仿宋_GB2312"/>
                <w:sz w:val="24"/>
                <w:szCs w:val="24"/>
              </w:rPr>
              <w:t>供应商回复</w:t>
            </w:r>
          </w:p>
        </w:tc>
        <w:tc>
          <w:tcPr>
            <w:tcW w:w="8456" w:type="dxa"/>
            <w:gridSpan w:val="5"/>
            <w:noWrap w:val="0"/>
            <w:vAlign w:val="center"/>
          </w:tcPr>
          <w:p w14:paraId="280E1B36">
            <w:pPr>
              <w:spacing w:line="400" w:lineRule="exact"/>
              <w:rPr>
                <w:rFonts w:ascii="仿宋_GB2312" w:eastAsia="仿宋_GB2312"/>
                <w:sz w:val="24"/>
                <w:szCs w:val="24"/>
              </w:rPr>
            </w:pPr>
          </w:p>
        </w:tc>
        <w:tc>
          <w:tcPr>
            <w:tcW w:w="899" w:type="dxa"/>
            <w:noWrap w:val="0"/>
            <w:vAlign w:val="top"/>
          </w:tcPr>
          <w:p w14:paraId="1BF60CA2">
            <w:pPr>
              <w:spacing w:line="400" w:lineRule="exact"/>
              <w:jc w:val="both"/>
              <w:rPr>
                <w:rFonts w:ascii="仿宋_GB2312" w:eastAsia="仿宋_GB2312"/>
                <w:sz w:val="24"/>
                <w:szCs w:val="24"/>
              </w:rPr>
            </w:pPr>
            <w:r>
              <w:rPr>
                <w:rFonts w:hint="eastAsia" w:ascii="仿宋_GB2312" w:eastAsia="仿宋_GB2312"/>
                <w:sz w:val="24"/>
                <w:szCs w:val="24"/>
              </w:rPr>
              <w:t>报价（元）</w:t>
            </w:r>
          </w:p>
        </w:tc>
        <w:tc>
          <w:tcPr>
            <w:tcW w:w="1950" w:type="dxa"/>
            <w:gridSpan w:val="2"/>
            <w:noWrap w:val="0"/>
            <w:vAlign w:val="top"/>
          </w:tcPr>
          <w:p w14:paraId="189731DE">
            <w:pPr>
              <w:spacing w:line="400" w:lineRule="exact"/>
              <w:jc w:val="center"/>
              <w:rPr>
                <w:rFonts w:hint="eastAsia" w:ascii="仿宋_GB2312" w:eastAsia="仿宋_GB2312"/>
                <w:sz w:val="24"/>
                <w:szCs w:val="24"/>
              </w:rPr>
            </w:pPr>
            <w:r>
              <w:rPr>
                <w:rFonts w:hint="eastAsia" w:ascii="仿宋_GB2312" w:eastAsia="仿宋_GB2312"/>
                <w:sz w:val="24"/>
                <w:szCs w:val="24"/>
              </w:rPr>
              <w:t xml:space="preserve"> </w:t>
            </w:r>
          </w:p>
          <w:p w14:paraId="542723C6">
            <w:pPr>
              <w:spacing w:line="400" w:lineRule="exact"/>
              <w:rPr>
                <w:rFonts w:ascii="仿宋_GB2312" w:eastAsia="仿宋_GB2312"/>
                <w:sz w:val="32"/>
                <w:szCs w:val="32"/>
              </w:rPr>
            </w:pPr>
            <w:r>
              <w:rPr>
                <w:rFonts w:hint="eastAsia" w:ascii="仿宋_GB2312" w:eastAsia="仿宋_GB2312"/>
                <w:sz w:val="32"/>
                <w:szCs w:val="32"/>
              </w:rPr>
              <w:t xml:space="preserve"> </w:t>
            </w:r>
          </w:p>
        </w:tc>
      </w:tr>
      <w:tr w14:paraId="685C8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3773" w:type="dxa"/>
            <w:gridSpan w:val="4"/>
            <w:noWrap w:val="0"/>
            <w:vAlign w:val="top"/>
          </w:tcPr>
          <w:p w14:paraId="4FEC0E74">
            <w:pPr>
              <w:spacing w:line="400" w:lineRule="exact"/>
              <w:rPr>
                <w:rFonts w:ascii="仿宋_GB2312" w:eastAsia="仿宋_GB2312"/>
                <w:sz w:val="24"/>
                <w:szCs w:val="24"/>
              </w:rPr>
            </w:pPr>
            <w:r>
              <w:rPr>
                <w:rFonts w:hint="eastAsia" w:ascii="仿宋_GB2312" w:eastAsia="仿宋_GB2312"/>
                <w:sz w:val="24"/>
                <w:szCs w:val="24"/>
              </w:rPr>
              <w:t>供应商（加盖印章）：</w:t>
            </w:r>
          </w:p>
        </w:tc>
        <w:tc>
          <w:tcPr>
            <w:tcW w:w="2812" w:type="dxa"/>
            <w:gridSpan w:val="2"/>
            <w:noWrap w:val="0"/>
            <w:vAlign w:val="top"/>
          </w:tcPr>
          <w:p w14:paraId="082E6F5F">
            <w:pPr>
              <w:spacing w:line="400" w:lineRule="exact"/>
              <w:rPr>
                <w:rFonts w:ascii="仿宋_GB2312" w:eastAsia="仿宋_GB2312"/>
                <w:sz w:val="24"/>
                <w:szCs w:val="24"/>
              </w:rPr>
            </w:pPr>
            <w:r>
              <w:rPr>
                <w:rFonts w:hint="eastAsia" w:ascii="仿宋_GB2312" w:eastAsia="仿宋_GB2312"/>
                <w:sz w:val="24"/>
                <w:szCs w:val="24"/>
              </w:rPr>
              <w:t>联系人：</w:t>
            </w:r>
          </w:p>
        </w:tc>
        <w:tc>
          <w:tcPr>
            <w:tcW w:w="4226" w:type="dxa"/>
            <w:gridSpan w:val="2"/>
            <w:noWrap w:val="0"/>
            <w:vAlign w:val="top"/>
          </w:tcPr>
          <w:p w14:paraId="4967B32C">
            <w:pPr>
              <w:spacing w:line="400" w:lineRule="exact"/>
              <w:rPr>
                <w:rFonts w:ascii="仿宋_GB2312" w:eastAsia="仿宋_GB2312"/>
                <w:sz w:val="24"/>
                <w:szCs w:val="24"/>
              </w:rPr>
            </w:pPr>
            <w:r>
              <w:rPr>
                <w:rFonts w:hint="eastAsia" w:ascii="仿宋_GB2312" w:eastAsia="仿宋_GB2312"/>
                <w:sz w:val="24"/>
                <w:szCs w:val="24"/>
              </w:rPr>
              <w:t>联系电话：</w:t>
            </w:r>
          </w:p>
        </w:tc>
        <w:tc>
          <w:tcPr>
            <w:tcW w:w="2849" w:type="dxa"/>
            <w:gridSpan w:val="3"/>
            <w:noWrap w:val="0"/>
            <w:vAlign w:val="top"/>
          </w:tcPr>
          <w:p w14:paraId="4E044279">
            <w:pPr>
              <w:spacing w:line="400" w:lineRule="exact"/>
              <w:rPr>
                <w:rFonts w:ascii="仿宋_GB2312" w:eastAsia="仿宋_GB2312"/>
                <w:sz w:val="24"/>
                <w:szCs w:val="24"/>
              </w:rPr>
            </w:pPr>
            <w:r>
              <w:rPr>
                <w:rFonts w:hint="eastAsia" w:ascii="仿宋_GB2312" w:eastAsia="仿宋_GB2312"/>
                <w:sz w:val="24"/>
                <w:szCs w:val="24"/>
              </w:rPr>
              <w:t>传真：</w:t>
            </w:r>
          </w:p>
        </w:tc>
      </w:tr>
    </w:tbl>
    <w:p w14:paraId="338EB3CD">
      <w:pPr>
        <w:spacing w:line="520" w:lineRule="exact"/>
        <w:ind w:firstLine="720" w:firstLineChars="200"/>
        <w:jc w:val="both"/>
        <w:rPr>
          <w:rFonts w:hint="eastAsia" w:ascii="方正小标宋_GBK" w:hAnsi="方正小标宋_GBK" w:eastAsia="方正小标宋_GBK" w:cs="方正小标宋_GBK"/>
          <w:b w:val="0"/>
          <w:bCs w:val="0"/>
          <w:sz w:val="36"/>
          <w:szCs w:val="36"/>
        </w:rPr>
      </w:pPr>
      <w:r>
        <w:rPr>
          <w:rFonts w:hint="eastAsia" w:ascii="方正小标宋_GBK" w:hAnsi="方正小标宋_GBK" w:eastAsia="方正小标宋_GBK" w:cs="方正小标宋_GBK"/>
          <w:b w:val="0"/>
          <w:bCs w:val="0"/>
          <w:sz w:val="36"/>
          <w:szCs w:val="36"/>
        </w:rPr>
        <w:t>《健康湖北》202</w:t>
      </w:r>
      <w:r>
        <w:rPr>
          <w:rFonts w:hint="eastAsia" w:ascii="方正小标宋_GBK" w:hAnsi="方正小标宋_GBK" w:eastAsia="方正小标宋_GBK" w:cs="方正小标宋_GBK"/>
          <w:b w:val="0"/>
          <w:bCs w:val="0"/>
          <w:sz w:val="36"/>
          <w:szCs w:val="36"/>
          <w:lang w:val="en-US" w:eastAsia="zh-CN"/>
        </w:rPr>
        <w:t>4</w:t>
      </w:r>
      <w:r>
        <w:rPr>
          <w:rFonts w:hint="eastAsia" w:ascii="方正小标宋_GBK" w:hAnsi="方正小标宋_GBK" w:eastAsia="方正小标宋_GBK" w:cs="方正小标宋_GBK"/>
          <w:b w:val="0"/>
          <w:bCs w:val="0"/>
          <w:sz w:val="36"/>
          <w:szCs w:val="36"/>
        </w:rPr>
        <w:t>年</w:t>
      </w:r>
      <w:r>
        <w:rPr>
          <w:rFonts w:hint="eastAsia" w:ascii="方正小标宋_GBK" w:hAnsi="方正小标宋_GBK" w:eastAsia="方正小标宋_GBK" w:cs="方正小标宋_GBK"/>
          <w:b w:val="0"/>
          <w:bCs w:val="0"/>
          <w:sz w:val="36"/>
          <w:szCs w:val="36"/>
          <w:lang w:eastAsia="zh-CN"/>
        </w:rPr>
        <w:t>第</w:t>
      </w:r>
      <w:r>
        <w:rPr>
          <w:rFonts w:hint="eastAsia" w:ascii="方正小标宋_GBK" w:hAnsi="方正小标宋_GBK" w:eastAsia="方正小标宋_GBK" w:cs="方正小标宋_GBK"/>
          <w:b w:val="0"/>
          <w:bCs w:val="0"/>
          <w:sz w:val="36"/>
          <w:szCs w:val="36"/>
          <w:lang w:val="en-US" w:eastAsia="zh-CN"/>
        </w:rPr>
        <w:t>11期至2025年第10期</w:t>
      </w:r>
      <w:r>
        <w:rPr>
          <w:rFonts w:hint="eastAsia" w:ascii="方正小标宋_GBK" w:hAnsi="方正小标宋_GBK" w:eastAsia="方正小标宋_GBK" w:cs="方正小标宋_GBK"/>
          <w:b w:val="0"/>
          <w:bCs w:val="0"/>
          <w:sz w:val="36"/>
          <w:szCs w:val="36"/>
        </w:rPr>
        <w:t>邮寄</w:t>
      </w:r>
      <w:r>
        <w:rPr>
          <w:rFonts w:hint="eastAsia" w:ascii="方正小标宋_GBK" w:hAnsi="方正小标宋_GBK" w:eastAsia="方正小标宋_GBK" w:cs="方正小标宋_GBK"/>
          <w:b w:val="0"/>
          <w:bCs w:val="0"/>
          <w:sz w:val="36"/>
          <w:szCs w:val="36"/>
          <w:lang w:val="en-US" w:eastAsia="zh-CN"/>
        </w:rPr>
        <w:t>委托服务</w:t>
      </w:r>
      <w:r>
        <w:rPr>
          <w:rFonts w:hint="eastAsia" w:ascii="方正小标宋_GBK" w:hAnsi="方正小标宋_GBK" w:eastAsia="方正小标宋_GBK" w:cs="方正小标宋_GBK"/>
          <w:b w:val="0"/>
          <w:bCs w:val="0"/>
          <w:sz w:val="36"/>
          <w:szCs w:val="36"/>
        </w:rPr>
        <w:t>询价单</w:t>
      </w:r>
    </w:p>
    <w:p w14:paraId="192ED7EB">
      <w:pPr>
        <w:spacing w:line="360" w:lineRule="auto"/>
        <w:ind w:firstLine="723"/>
        <w:jc w:val="center"/>
        <w:rPr>
          <w:rFonts w:hint="eastAsia" w:ascii="宋体" w:hAnsi="宋体" w:cs="宋体"/>
          <w:b/>
          <w:bCs/>
          <w:sz w:val="36"/>
          <w:szCs w:val="36"/>
        </w:rPr>
        <w:sectPr>
          <w:pgSz w:w="16838" w:h="11906" w:orient="landscape"/>
          <w:pgMar w:top="1800" w:right="1440" w:bottom="1800" w:left="1440" w:header="851" w:footer="992" w:gutter="0"/>
          <w:cols w:space="720" w:num="1"/>
          <w:docGrid w:type="lines" w:linePitch="312" w:charSpace="0"/>
        </w:sectPr>
      </w:pPr>
    </w:p>
    <w:p w14:paraId="33EB8668">
      <w:pPr>
        <w:spacing w:line="360" w:lineRule="auto"/>
        <w:rPr>
          <w:rFonts w:hint="eastAsia" w:ascii="宋体" w:hAnsi="宋体" w:eastAsia="黑体" w:cs="黑体"/>
          <w:sz w:val="32"/>
          <w:lang w:val="en-US" w:eastAsia="zh-CN"/>
        </w:rPr>
      </w:pPr>
      <w:r>
        <w:rPr>
          <w:rFonts w:hint="eastAsia" w:ascii="宋体" w:hAnsi="宋体" w:eastAsia="黑体" w:cs="黑体"/>
          <w:sz w:val="32"/>
        </w:rPr>
        <w:t>附件</w:t>
      </w:r>
      <w:r>
        <w:rPr>
          <w:rFonts w:hint="eastAsia" w:ascii="宋体" w:hAnsi="宋体" w:eastAsia="黑体" w:cs="黑体"/>
          <w:sz w:val="32"/>
          <w:lang w:val="en-US" w:eastAsia="zh-CN"/>
        </w:rPr>
        <w:t>3</w:t>
      </w:r>
    </w:p>
    <w:p w14:paraId="0C786DCB">
      <w:pPr>
        <w:spacing w:line="360" w:lineRule="auto"/>
        <w:jc w:val="center"/>
        <w:rPr>
          <w:rFonts w:hint="eastAsia" w:ascii="方正仿宋_GBK" w:hAnsi="方正仿宋_GBK" w:eastAsia="方正仿宋_GBK" w:cs="方正仿宋_GBK"/>
          <w:b/>
          <w:bCs/>
          <w:sz w:val="44"/>
          <w:szCs w:val="44"/>
        </w:rPr>
      </w:pPr>
      <w:r>
        <w:rPr>
          <w:rFonts w:hint="eastAsia" w:ascii="方正仿宋_GBK" w:hAnsi="方正仿宋_GBK" w:eastAsia="方正仿宋_GBK" w:cs="方正仿宋_GBK"/>
          <w:b/>
          <w:bCs/>
          <w:sz w:val="44"/>
          <w:szCs w:val="44"/>
        </w:rPr>
        <w:t>《健康湖北》202</w:t>
      </w:r>
      <w:r>
        <w:rPr>
          <w:rFonts w:hint="eastAsia" w:ascii="方正仿宋_GBK" w:hAnsi="方正仿宋_GBK" w:eastAsia="方正仿宋_GBK" w:cs="方正仿宋_GBK"/>
          <w:b/>
          <w:bCs/>
          <w:sz w:val="44"/>
          <w:szCs w:val="44"/>
          <w:lang w:val="en-US" w:eastAsia="zh-CN"/>
        </w:rPr>
        <w:t>4</w:t>
      </w:r>
      <w:r>
        <w:rPr>
          <w:rFonts w:hint="eastAsia" w:ascii="方正仿宋_GBK" w:hAnsi="方正仿宋_GBK" w:eastAsia="方正仿宋_GBK" w:cs="方正仿宋_GBK"/>
          <w:b/>
          <w:bCs/>
          <w:sz w:val="44"/>
          <w:szCs w:val="44"/>
        </w:rPr>
        <w:t>年第11期至202</w:t>
      </w:r>
      <w:r>
        <w:rPr>
          <w:rFonts w:hint="eastAsia" w:ascii="方正仿宋_GBK" w:hAnsi="方正仿宋_GBK" w:eastAsia="方正仿宋_GBK" w:cs="方正仿宋_GBK"/>
          <w:b/>
          <w:bCs/>
          <w:sz w:val="44"/>
          <w:szCs w:val="44"/>
          <w:lang w:val="en-US" w:eastAsia="zh-CN"/>
        </w:rPr>
        <w:t>5</w:t>
      </w:r>
      <w:r>
        <w:rPr>
          <w:rFonts w:hint="eastAsia" w:ascii="方正仿宋_GBK" w:hAnsi="方正仿宋_GBK" w:eastAsia="方正仿宋_GBK" w:cs="方正仿宋_GBK"/>
          <w:b/>
          <w:bCs/>
          <w:sz w:val="44"/>
          <w:szCs w:val="44"/>
        </w:rPr>
        <w:t>年第10期邮寄</w:t>
      </w:r>
      <w:r>
        <w:rPr>
          <w:rFonts w:hint="eastAsia" w:ascii="方正仿宋_GBK" w:hAnsi="方正仿宋_GBK" w:eastAsia="方正仿宋_GBK" w:cs="方正仿宋_GBK"/>
          <w:b/>
          <w:bCs/>
          <w:sz w:val="44"/>
          <w:szCs w:val="44"/>
          <w:lang w:val="en-US" w:eastAsia="zh-CN"/>
        </w:rPr>
        <w:t>委托</w:t>
      </w:r>
      <w:r>
        <w:rPr>
          <w:rFonts w:hint="eastAsia" w:ascii="方正仿宋_GBK" w:hAnsi="方正仿宋_GBK" w:eastAsia="方正仿宋_GBK" w:cs="方正仿宋_GBK"/>
          <w:b/>
          <w:bCs/>
          <w:sz w:val="44"/>
          <w:szCs w:val="44"/>
        </w:rPr>
        <w:t>服务项目</w:t>
      </w:r>
      <w:r>
        <w:rPr>
          <w:rFonts w:hint="eastAsia" w:ascii="方正仿宋_GBK" w:hAnsi="方正仿宋_GBK" w:eastAsia="方正仿宋_GBK" w:cs="方正仿宋_GBK"/>
          <w:b/>
          <w:bCs/>
          <w:sz w:val="44"/>
          <w:szCs w:val="44"/>
          <w:lang w:val="en-US" w:eastAsia="zh-CN"/>
        </w:rPr>
        <w:t>评</w:t>
      </w:r>
      <w:r>
        <w:rPr>
          <w:rFonts w:hint="eastAsia" w:ascii="方正仿宋_GBK" w:hAnsi="方正仿宋_GBK" w:eastAsia="方正仿宋_GBK" w:cs="方正仿宋_GBK"/>
          <w:b/>
          <w:bCs/>
          <w:sz w:val="44"/>
          <w:szCs w:val="44"/>
        </w:rPr>
        <w:t>分表</w:t>
      </w:r>
    </w:p>
    <w:p w14:paraId="06D6B76C">
      <w:pPr>
        <w:spacing w:line="360" w:lineRule="auto"/>
        <w:jc w:val="center"/>
        <w:rPr>
          <w:rFonts w:hint="default" w:ascii="方正仿宋_GBK" w:hAnsi="方正仿宋_GBK" w:eastAsia="方正仿宋_GBK" w:cs="方正仿宋_GBK"/>
          <w:b/>
          <w:bCs/>
          <w:sz w:val="36"/>
          <w:szCs w:val="36"/>
          <w:lang w:val="en-US" w:eastAsia="zh-CN"/>
        </w:rPr>
      </w:pPr>
      <w:r>
        <w:rPr>
          <w:rFonts w:hint="eastAsia" w:ascii="方正仿宋_GBK" w:hAnsi="方正仿宋_GBK" w:eastAsia="方正仿宋_GBK" w:cs="方正仿宋_GBK"/>
          <w:b/>
          <w:bCs/>
          <w:sz w:val="36"/>
          <w:szCs w:val="36"/>
          <w:lang w:val="en-US" w:eastAsia="zh-CN"/>
        </w:rPr>
        <w:t xml:space="preserve">                         </w:t>
      </w:r>
      <w:r>
        <w:rPr>
          <w:rFonts w:hint="eastAsia" w:ascii="方正仿宋_GBK" w:hAnsi="方正仿宋_GBK" w:eastAsia="方正仿宋_GBK" w:cs="方正仿宋_GBK"/>
          <w:b/>
          <w:bCs/>
          <w:sz w:val="32"/>
          <w:szCs w:val="32"/>
          <w:lang w:val="en-US" w:eastAsia="zh-CN"/>
        </w:rPr>
        <w:t>签名：               时间：</w:t>
      </w:r>
    </w:p>
    <w:tbl>
      <w:tblPr>
        <w:tblStyle w:val="6"/>
        <w:tblW w:w="14113" w:type="dxa"/>
        <w:tblInd w:w="7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425"/>
        <w:gridCol w:w="7688"/>
        <w:gridCol w:w="1207"/>
        <w:gridCol w:w="1242"/>
        <w:gridCol w:w="1379"/>
        <w:gridCol w:w="1172"/>
      </w:tblGrid>
      <w:tr w14:paraId="2C98A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1425" w:type="dxa"/>
            <w:tcBorders>
              <w:top w:val="single" w:color="auto" w:sz="6" w:space="0"/>
              <w:left w:val="single" w:color="auto" w:sz="6" w:space="0"/>
              <w:bottom w:val="single" w:color="auto" w:sz="6" w:space="0"/>
              <w:right w:val="single" w:color="auto" w:sz="6" w:space="0"/>
              <w:tl2br w:val="nil"/>
              <w:tr2bl w:val="nil"/>
            </w:tcBorders>
            <w:noWrap w:val="0"/>
            <w:vAlign w:val="top"/>
          </w:tcPr>
          <w:p w14:paraId="079F454D">
            <w:pPr>
              <w:spacing w:beforeLines="0" w:afterLines="0"/>
              <w:jc w:val="center"/>
              <w:rPr>
                <w:rFonts w:hint="eastAsia" w:ascii="等线" w:hAnsi="等线" w:eastAsia="等线"/>
                <w:b/>
                <w:color w:val="000000"/>
                <w:sz w:val="28"/>
                <w:szCs w:val="24"/>
              </w:rPr>
            </w:pPr>
            <w:r>
              <w:rPr>
                <w:rFonts w:hint="eastAsia" w:ascii="等线" w:hAnsi="等线" w:eastAsia="等线"/>
                <w:b/>
                <w:color w:val="000000"/>
                <w:sz w:val="28"/>
                <w:szCs w:val="24"/>
              </w:rPr>
              <w:t>评分内容</w:t>
            </w:r>
          </w:p>
        </w:tc>
        <w:tc>
          <w:tcPr>
            <w:tcW w:w="7688" w:type="dxa"/>
            <w:tcBorders>
              <w:top w:val="single" w:color="auto" w:sz="6" w:space="0"/>
              <w:left w:val="single" w:color="auto" w:sz="6" w:space="0"/>
              <w:bottom w:val="single" w:color="auto" w:sz="6" w:space="0"/>
              <w:right w:val="single" w:color="auto" w:sz="6" w:space="0"/>
              <w:tl2br w:val="nil"/>
              <w:tr2bl w:val="nil"/>
            </w:tcBorders>
            <w:noWrap w:val="0"/>
            <w:vAlign w:val="top"/>
          </w:tcPr>
          <w:p w14:paraId="40E5ECF4">
            <w:pPr>
              <w:spacing w:beforeLines="0" w:afterLines="0"/>
              <w:jc w:val="center"/>
              <w:rPr>
                <w:rFonts w:hint="eastAsia" w:ascii="等线" w:hAnsi="等线" w:eastAsia="等线"/>
                <w:b/>
                <w:color w:val="000000"/>
                <w:sz w:val="28"/>
                <w:szCs w:val="24"/>
              </w:rPr>
            </w:pPr>
            <w:r>
              <w:rPr>
                <w:rFonts w:hint="eastAsia" w:ascii="等线" w:hAnsi="等线" w:eastAsia="等线"/>
                <w:b/>
                <w:color w:val="000000"/>
                <w:sz w:val="28"/>
                <w:szCs w:val="24"/>
              </w:rPr>
              <w:t>评分因素</w:t>
            </w:r>
          </w:p>
        </w:tc>
        <w:tc>
          <w:tcPr>
            <w:tcW w:w="1207" w:type="dxa"/>
            <w:tcBorders>
              <w:top w:val="single" w:color="auto" w:sz="6" w:space="0"/>
              <w:left w:val="single" w:color="auto" w:sz="6" w:space="0"/>
              <w:bottom w:val="single" w:color="auto" w:sz="6" w:space="0"/>
              <w:right w:val="single" w:color="auto" w:sz="6" w:space="0"/>
              <w:tl2br w:val="nil"/>
              <w:tr2bl w:val="nil"/>
            </w:tcBorders>
            <w:noWrap w:val="0"/>
            <w:vAlign w:val="top"/>
          </w:tcPr>
          <w:p w14:paraId="006E9AE9">
            <w:pPr>
              <w:spacing w:beforeLines="0" w:afterLines="0"/>
              <w:jc w:val="center"/>
              <w:rPr>
                <w:rFonts w:hint="eastAsia" w:ascii="等线" w:hAnsi="等线" w:eastAsia="等线"/>
                <w:b/>
                <w:color w:val="000000"/>
                <w:sz w:val="28"/>
                <w:szCs w:val="24"/>
              </w:rPr>
            </w:pPr>
            <w:r>
              <w:rPr>
                <w:rFonts w:hint="eastAsia" w:ascii="等线" w:hAnsi="等线" w:eastAsia="等线"/>
                <w:b/>
                <w:color w:val="000000"/>
                <w:sz w:val="28"/>
                <w:szCs w:val="24"/>
              </w:rPr>
              <w:t>分值</w:t>
            </w:r>
          </w:p>
        </w:tc>
        <w:tc>
          <w:tcPr>
            <w:tcW w:w="1242" w:type="dxa"/>
            <w:tcBorders>
              <w:top w:val="single" w:color="auto" w:sz="6" w:space="0"/>
              <w:left w:val="single" w:color="auto" w:sz="6" w:space="0"/>
              <w:bottom w:val="single" w:color="auto" w:sz="6" w:space="0"/>
              <w:right w:val="single" w:color="auto" w:sz="6" w:space="0"/>
              <w:tl2br w:val="nil"/>
              <w:tr2bl w:val="nil"/>
            </w:tcBorders>
            <w:noWrap w:val="0"/>
            <w:vAlign w:val="top"/>
          </w:tcPr>
          <w:p w14:paraId="5823A3FB">
            <w:pPr>
              <w:spacing w:beforeLines="0" w:afterLines="0"/>
              <w:jc w:val="center"/>
              <w:rPr>
                <w:rFonts w:hint="eastAsia" w:ascii="等线" w:hAnsi="等线" w:eastAsia="等线"/>
                <w:b/>
                <w:color w:val="000000"/>
                <w:sz w:val="28"/>
                <w:szCs w:val="24"/>
              </w:rPr>
            </w:pPr>
            <w:r>
              <w:rPr>
                <w:rFonts w:hint="eastAsia" w:ascii="等线" w:hAnsi="等线" w:eastAsia="等线"/>
                <w:b/>
                <w:color w:val="000000"/>
                <w:sz w:val="28"/>
                <w:szCs w:val="24"/>
                <w:lang w:val="en-US" w:eastAsia="zh-CN"/>
              </w:rPr>
              <w:t>单位</w:t>
            </w:r>
            <w:r>
              <w:rPr>
                <w:rFonts w:hint="eastAsia" w:ascii="等线" w:hAnsi="等线" w:eastAsia="等线"/>
                <w:b/>
                <w:color w:val="000000"/>
                <w:sz w:val="28"/>
                <w:szCs w:val="24"/>
              </w:rPr>
              <w:t>1</w:t>
            </w:r>
          </w:p>
        </w:tc>
        <w:tc>
          <w:tcPr>
            <w:tcW w:w="1379" w:type="dxa"/>
            <w:tcBorders>
              <w:top w:val="single" w:color="auto" w:sz="6" w:space="0"/>
              <w:left w:val="single" w:color="auto" w:sz="6" w:space="0"/>
              <w:bottom w:val="single" w:color="auto" w:sz="6" w:space="0"/>
              <w:right w:val="single" w:color="auto" w:sz="6" w:space="0"/>
              <w:tl2br w:val="nil"/>
              <w:tr2bl w:val="nil"/>
            </w:tcBorders>
            <w:noWrap w:val="0"/>
            <w:vAlign w:val="top"/>
          </w:tcPr>
          <w:p w14:paraId="604D2595">
            <w:pPr>
              <w:spacing w:beforeLines="0" w:afterLines="0"/>
              <w:jc w:val="center"/>
              <w:rPr>
                <w:rFonts w:hint="eastAsia" w:ascii="等线" w:hAnsi="等线" w:eastAsia="等线"/>
                <w:b/>
                <w:color w:val="000000"/>
                <w:sz w:val="28"/>
                <w:szCs w:val="24"/>
              </w:rPr>
            </w:pPr>
            <w:r>
              <w:rPr>
                <w:rFonts w:hint="eastAsia" w:ascii="等线" w:hAnsi="等线" w:eastAsia="等线"/>
                <w:b/>
                <w:color w:val="000000"/>
                <w:sz w:val="28"/>
                <w:szCs w:val="24"/>
                <w:lang w:val="en-US" w:eastAsia="zh-CN"/>
              </w:rPr>
              <w:t>单位</w:t>
            </w:r>
            <w:r>
              <w:rPr>
                <w:rFonts w:hint="eastAsia" w:ascii="等线" w:hAnsi="等线" w:eastAsia="等线"/>
                <w:b/>
                <w:color w:val="000000"/>
                <w:sz w:val="28"/>
                <w:szCs w:val="24"/>
              </w:rPr>
              <w:t>2</w:t>
            </w:r>
          </w:p>
        </w:tc>
        <w:tc>
          <w:tcPr>
            <w:tcW w:w="1172" w:type="dxa"/>
            <w:tcBorders>
              <w:top w:val="single" w:color="auto" w:sz="6" w:space="0"/>
              <w:left w:val="single" w:color="auto" w:sz="6" w:space="0"/>
              <w:bottom w:val="single" w:color="auto" w:sz="6" w:space="0"/>
              <w:right w:val="single" w:color="auto" w:sz="6" w:space="0"/>
              <w:tl2br w:val="nil"/>
              <w:tr2bl w:val="nil"/>
            </w:tcBorders>
            <w:noWrap w:val="0"/>
            <w:vAlign w:val="top"/>
          </w:tcPr>
          <w:p w14:paraId="33479DFB">
            <w:pPr>
              <w:spacing w:beforeLines="0" w:afterLines="0"/>
              <w:jc w:val="center"/>
              <w:rPr>
                <w:rFonts w:hint="eastAsia" w:ascii="等线" w:hAnsi="等线" w:eastAsia="等线"/>
                <w:b/>
                <w:color w:val="000000"/>
                <w:sz w:val="28"/>
                <w:szCs w:val="24"/>
              </w:rPr>
            </w:pPr>
            <w:r>
              <w:rPr>
                <w:rFonts w:hint="eastAsia" w:ascii="等线" w:hAnsi="等线" w:eastAsia="等线"/>
                <w:b/>
                <w:color w:val="000000"/>
                <w:sz w:val="28"/>
                <w:szCs w:val="24"/>
                <w:lang w:val="en-US" w:eastAsia="zh-CN"/>
              </w:rPr>
              <w:t>单位</w:t>
            </w:r>
            <w:r>
              <w:rPr>
                <w:rFonts w:hint="eastAsia" w:ascii="等线" w:hAnsi="等线" w:eastAsia="等线"/>
                <w:b/>
                <w:color w:val="000000"/>
                <w:sz w:val="28"/>
                <w:szCs w:val="24"/>
              </w:rPr>
              <w:t>3</w:t>
            </w:r>
          </w:p>
        </w:tc>
      </w:tr>
      <w:tr w14:paraId="4ACB2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atLeast"/>
        </w:trPr>
        <w:tc>
          <w:tcPr>
            <w:tcW w:w="1425" w:type="dxa"/>
            <w:tcBorders>
              <w:top w:val="single" w:color="auto" w:sz="6" w:space="0"/>
              <w:left w:val="single" w:color="auto" w:sz="6" w:space="0"/>
              <w:bottom w:val="single" w:color="auto" w:sz="6" w:space="0"/>
              <w:right w:val="single" w:color="auto" w:sz="6" w:space="0"/>
              <w:tl2br w:val="nil"/>
              <w:tr2bl w:val="nil"/>
            </w:tcBorders>
            <w:noWrap w:val="0"/>
            <w:vAlign w:val="top"/>
          </w:tcPr>
          <w:p w14:paraId="23CCCDD8">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等线" w:hAnsi="等线" w:eastAsia="等线"/>
                <w:color w:val="000000"/>
                <w:sz w:val="24"/>
                <w:szCs w:val="24"/>
              </w:rPr>
            </w:pPr>
            <w:r>
              <w:rPr>
                <w:rFonts w:hint="eastAsia" w:ascii="等线" w:hAnsi="等线" w:eastAsia="等线"/>
                <w:color w:val="000000"/>
                <w:sz w:val="24"/>
                <w:szCs w:val="24"/>
              </w:rPr>
              <w:t>投标价格</w:t>
            </w:r>
          </w:p>
        </w:tc>
        <w:tc>
          <w:tcPr>
            <w:tcW w:w="7688" w:type="dxa"/>
            <w:tcBorders>
              <w:top w:val="single" w:color="auto" w:sz="6" w:space="0"/>
              <w:left w:val="single" w:color="auto" w:sz="6" w:space="0"/>
              <w:bottom w:val="single" w:color="auto" w:sz="6" w:space="0"/>
              <w:right w:val="single" w:color="auto" w:sz="6" w:space="0"/>
              <w:tl2br w:val="nil"/>
              <w:tr2bl w:val="nil"/>
            </w:tcBorders>
            <w:noWrap w:val="0"/>
            <w:vAlign w:val="top"/>
          </w:tcPr>
          <w:p w14:paraId="333BB865">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rPr>
              <w:t>投标价格不高于预算要求的得10分；否则不得分。</w:t>
            </w:r>
          </w:p>
        </w:tc>
        <w:tc>
          <w:tcPr>
            <w:tcW w:w="1207" w:type="dxa"/>
            <w:tcBorders>
              <w:top w:val="single" w:color="auto" w:sz="6" w:space="0"/>
              <w:left w:val="single" w:color="auto" w:sz="6" w:space="0"/>
              <w:bottom w:val="single" w:color="auto" w:sz="6" w:space="0"/>
              <w:right w:val="single" w:color="auto" w:sz="6" w:space="0"/>
              <w:tl2br w:val="nil"/>
              <w:tr2bl w:val="nil"/>
            </w:tcBorders>
            <w:noWrap w:val="0"/>
            <w:vAlign w:val="top"/>
          </w:tcPr>
          <w:p w14:paraId="6BAECC99">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等线" w:hAnsi="等线" w:eastAsia="等线"/>
                <w:color w:val="000000"/>
                <w:sz w:val="24"/>
                <w:szCs w:val="24"/>
                <w:lang w:val="en-US" w:eastAsia="zh-CN"/>
              </w:rPr>
            </w:pPr>
            <w:r>
              <w:rPr>
                <w:rFonts w:hint="eastAsia" w:ascii="等线" w:hAnsi="等线" w:eastAsia="等线"/>
                <w:color w:val="000000"/>
                <w:sz w:val="24"/>
                <w:szCs w:val="24"/>
                <w:lang w:val="en-US" w:eastAsia="zh-CN"/>
              </w:rPr>
              <w:t>10</w:t>
            </w:r>
          </w:p>
        </w:tc>
        <w:tc>
          <w:tcPr>
            <w:tcW w:w="1242" w:type="dxa"/>
            <w:tcBorders>
              <w:top w:val="single" w:color="auto" w:sz="6" w:space="0"/>
              <w:left w:val="single" w:color="auto" w:sz="6" w:space="0"/>
              <w:bottom w:val="single" w:color="auto" w:sz="6" w:space="0"/>
              <w:right w:val="single" w:color="auto" w:sz="6" w:space="0"/>
              <w:tl2br w:val="nil"/>
              <w:tr2bl w:val="nil"/>
            </w:tcBorders>
            <w:noWrap w:val="0"/>
            <w:vAlign w:val="top"/>
          </w:tcPr>
          <w:p w14:paraId="23A84707">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379" w:type="dxa"/>
            <w:tcBorders>
              <w:top w:val="single" w:color="auto" w:sz="6" w:space="0"/>
              <w:left w:val="single" w:color="auto" w:sz="6" w:space="0"/>
              <w:bottom w:val="single" w:color="auto" w:sz="6" w:space="0"/>
              <w:right w:val="single" w:color="auto" w:sz="6" w:space="0"/>
              <w:tl2br w:val="nil"/>
              <w:tr2bl w:val="nil"/>
            </w:tcBorders>
            <w:noWrap w:val="0"/>
            <w:vAlign w:val="top"/>
          </w:tcPr>
          <w:p w14:paraId="1F006A41">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172" w:type="dxa"/>
            <w:tcBorders>
              <w:top w:val="single" w:color="auto" w:sz="6" w:space="0"/>
              <w:left w:val="single" w:color="auto" w:sz="6" w:space="0"/>
              <w:bottom w:val="single" w:color="auto" w:sz="6" w:space="0"/>
              <w:right w:val="single" w:color="auto" w:sz="6" w:space="0"/>
              <w:tl2br w:val="nil"/>
              <w:tr2bl w:val="nil"/>
            </w:tcBorders>
            <w:noWrap w:val="0"/>
            <w:vAlign w:val="top"/>
          </w:tcPr>
          <w:p w14:paraId="287653B9">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r>
      <w:tr w14:paraId="5D19C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trPr>
        <w:tc>
          <w:tcPr>
            <w:tcW w:w="1425" w:type="dxa"/>
            <w:tcBorders>
              <w:top w:val="single" w:color="auto" w:sz="6" w:space="0"/>
              <w:left w:val="single" w:color="auto" w:sz="6" w:space="0"/>
              <w:bottom w:val="single" w:color="auto" w:sz="6" w:space="0"/>
              <w:right w:val="single" w:color="auto" w:sz="6" w:space="0"/>
              <w:tl2br w:val="nil"/>
              <w:tr2bl w:val="nil"/>
            </w:tcBorders>
            <w:noWrap w:val="0"/>
            <w:vAlign w:val="top"/>
          </w:tcPr>
          <w:p w14:paraId="594A76F2">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等线" w:hAnsi="等线" w:eastAsia="等线"/>
                <w:color w:val="000000"/>
                <w:sz w:val="24"/>
                <w:szCs w:val="24"/>
                <w:lang w:val="en-US" w:eastAsia="zh-CN"/>
              </w:rPr>
            </w:pPr>
            <w:r>
              <w:rPr>
                <w:rFonts w:hint="eastAsia" w:ascii="等线" w:hAnsi="等线" w:eastAsia="等线"/>
                <w:color w:val="000000"/>
                <w:sz w:val="24"/>
                <w:szCs w:val="24"/>
                <w:lang w:val="en-US" w:eastAsia="zh-CN"/>
              </w:rPr>
              <w:t>资质部分</w:t>
            </w:r>
          </w:p>
        </w:tc>
        <w:tc>
          <w:tcPr>
            <w:tcW w:w="7688" w:type="dxa"/>
            <w:tcBorders>
              <w:top w:val="single" w:color="auto" w:sz="6" w:space="0"/>
              <w:left w:val="single" w:color="auto" w:sz="6" w:space="0"/>
              <w:bottom w:val="single" w:color="auto" w:sz="6" w:space="0"/>
              <w:right w:val="single" w:color="auto" w:sz="6" w:space="0"/>
              <w:tl2br w:val="nil"/>
              <w:tr2bl w:val="nil"/>
            </w:tcBorders>
            <w:noWrap w:val="0"/>
            <w:vAlign w:val="top"/>
          </w:tcPr>
          <w:p w14:paraId="475B43D5">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lang w:val="en-US" w:eastAsia="zh-CN"/>
              </w:rPr>
              <w:t>提交的响应文件合法、完整，及</w:t>
            </w:r>
            <w:r>
              <w:rPr>
                <w:rFonts w:hint="eastAsia" w:ascii="等线" w:hAnsi="等线" w:eastAsia="等线"/>
                <w:color w:val="000000"/>
                <w:sz w:val="24"/>
                <w:szCs w:val="24"/>
              </w:rPr>
              <w:t>近3年</w:t>
            </w:r>
            <w:r>
              <w:rPr>
                <w:rFonts w:hint="eastAsia" w:ascii="等线" w:hAnsi="等线" w:eastAsia="等线"/>
                <w:color w:val="000000"/>
                <w:sz w:val="24"/>
                <w:szCs w:val="24"/>
                <w:lang w:val="en-US" w:eastAsia="zh-CN"/>
              </w:rPr>
              <w:t>承接类似项目</w:t>
            </w:r>
            <w:r>
              <w:rPr>
                <w:rFonts w:hint="eastAsia" w:ascii="等线" w:hAnsi="等线" w:eastAsia="等线"/>
                <w:color w:val="000000"/>
                <w:sz w:val="24"/>
                <w:szCs w:val="24"/>
                <w:lang w:eastAsia="zh-CN"/>
              </w:rPr>
              <w:t>的</w:t>
            </w:r>
            <w:r>
              <w:rPr>
                <w:rFonts w:hint="eastAsia" w:ascii="等线" w:hAnsi="等线" w:eastAsia="等线"/>
                <w:color w:val="000000"/>
                <w:sz w:val="24"/>
                <w:szCs w:val="24"/>
              </w:rPr>
              <w:t xml:space="preserve">业务情况。 </w:t>
            </w:r>
          </w:p>
        </w:tc>
        <w:tc>
          <w:tcPr>
            <w:tcW w:w="1207" w:type="dxa"/>
            <w:tcBorders>
              <w:top w:val="single" w:color="auto" w:sz="6" w:space="0"/>
              <w:left w:val="single" w:color="auto" w:sz="6" w:space="0"/>
              <w:bottom w:val="single" w:color="auto" w:sz="6" w:space="0"/>
              <w:right w:val="single" w:color="auto" w:sz="6" w:space="0"/>
              <w:tl2br w:val="nil"/>
              <w:tr2bl w:val="nil"/>
            </w:tcBorders>
            <w:noWrap w:val="0"/>
            <w:vAlign w:val="top"/>
          </w:tcPr>
          <w:p w14:paraId="37496887">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等线" w:hAnsi="等线" w:eastAsia="等线"/>
                <w:color w:val="000000"/>
                <w:sz w:val="24"/>
                <w:szCs w:val="24"/>
                <w:lang w:val="en-US" w:eastAsia="zh-CN"/>
              </w:rPr>
            </w:pPr>
            <w:r>
              <w:rPr>
                <w:rFonts w:hint="eastAsia" w:ascii="等线" w:hAnsi="等线" w:eastAsia="等线"/>
                <w:color w:val="000000"/>
                <w:sz w:val="24"/>
                <w:szCs w:val="24"/>
                <w:lang w:val="en-US" w:eastAsia="zh-CN"/>
              </w:rPr>
              <w:t>15</w:t>
            </w:r>
          </w:p>
        </w:tc>
        <w:tc>
          <w:tcPr>
            <w:tcW w:w="1242" w:type="dxa"/>
            <w:tcBorders>
              <w:top w:val="single" w:color="auto" w:sz="6" w:space="0"/>
              <w:left w:val="single" w:color="auto" w:sz="6" w:space="0"/>
              <w:bottom w:val="single" w:color="auto" w:sz="6" w:space="0"/>
              <w:right w:val="single" w:color="auto" w:sz="6" w:space="0"/>
              <w:tl2br w:val="nil"/>
              <w:tr2bl w:val="nil"/>
            </w:tcBorders>
            <w:noWrap w:val="0"/>
            <w:vAlign w:val="top"/>
          </w:tcPr>
          <w:p w14:paraId="7CA50E65">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379" w:type="dxa"/>
            <w:tcBorders>
              <w:top w:val="single" w:color="auto" w:sz="6" w:space="0"/>
              <w:left w:val="single" w:color="auto" w:sz="6" w:space="0"/>
              <w:bottom w:val="single" w:color="auto" w:sz="6" w:space="0"/>
              <w:right w:val="single" w:color="auto" w:sz="6" w:space="0"/>
              <w:tl2br w:val="nil"/>
              <w:tr2bl w:val="nil"/>
            </w:tcBorders>
            <w:noWrap w:val="0"/>
            <w:vAlign w:val="top"/>
          </w:tcPr>
          <w:p w14:paraId="637AFD36">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172" w:type="dxa"/>
            <w:tcBorders>
              <w:top w:val="single" w:color="auto" w:sz="6" w:space="0"/>
              <w:left w:val="single" w:color="auto" w:sz="6" w:space="0"/>
              <w:bottom w:val="single" w:color="auto" w:sz="6" w:space="0"/>
              <w:right w:val="single" w:color="auto" w:sz="6" w:space="0"/>
              <w:tl2br w:val="nil"/>
              <w:tr2bl w:val="nil"/>
            </w:tcBorders>
            <w:noWrap w:val="0"/>
            <w:vAlign w:val="top"/>
          </w:tcPr>
          <w:p w14:paraId="4F8E3838">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r>
      <w:tr w14:paraId="4B633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66" w:hRule="atLeast"/>
        </w:trPr>
        <w:tc>
          <w:tcPr>
            <w:tcW w:w="1425" w:type="dxa"/>
            <w:tcBorders>
              <w:top w:val="single" w:color="auto" w:sz="6" w:space="0"/>
              <w:left w:val="single" w:color="auto" w:sz="6" w:space="0"/>
              <w:bottom w:val="single" w:color="auto" w:sz="6" w:space="0"/>
              <w:right w:val="single" w:color="auto" w:sz="6" w:space="0"/>
              <w:tl2br w:val="nil"/>
              <w:tr2bl w:val="nil"/>
            </w:tcBorders>
            <w:noWrap w:val="0"/>
            <w:vAlign w:val="top"/>
          </w:tcPr>
          <w:p w14:paraId="334F4A8F">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等线" w:hAnsi="等线" w:eastAsia="等线"/>
                <w:color w:val="000000"/>
                <w:sz w:val="24"/>
                <w:szCs w:val="24"/>
                <w:lang w:eastAsia="zh-CN"/>
              </w:rPr>
            </w:pPr>
            <w:r>
              <w:rPr>
                <w:rFonts w:hint="eastAsia" w:ascii="等线" w:hAnsi="等线" w:eastAsia="等线"/>
                <w:color w:val="000000"/>
                <w:sz w:val="24"/>
                <w:szCs w:val="24"/>
              </w:rPr>
              <w:t>服务</w:t>
            </w:r>
            <w:r>
              <w:rPr>
                <w:rFonts w:hint="eastAsia" w:ascii="等线" w:hAnsi="等线" w:eastAsia="等线"/>
                <w:color w:val="000000"/>
                <w:sz w:val="24"/>
                <w:szCs w:val="24"/>
                <w:lang w:val="en-US" w:eastAsia="zh-CN"/>
              </w:rPr>
              <w:t>能力</w:t>
            </w:r>
          </w:p>
        </w:tc>
        <w:tc>
          <w:tcPr>
            <w:tcW w:w="7688" w:type="dxa"/>
            <w:tcBorders>
              <w:top w:val="single" w:color="auto" w:sz="6" w:space="0"/>
              <w:left w:val="single" w:color="auto" w:sz="6" w:space="0"/>
              <w:bottom w:val="single" w:color="auto" w:sz="6" w:space="0"/>
              <w:right w:val="single" w:color="auto" w:sz="6" w:space="0"/>
              <w:tl2br w:val="nil"/>
              <w:tr2bl w:val="nil"/>
            </w:tcBorders>
            <w:noWrap w:val="0"/>
            <w:vAlign w:val="top"/>
          </w:tcPr>
          <w:p w14:paraId="3A8F20F8">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rPr>
              <w:t>1.除按要求邮寄每期</w:t>
            </w:r>
            <w:r>
              <w:rPr>
                <w:rFonts w:hint="eastAsia" w:ascii="等线" w:hAnsi="等线" w:eastAsia="等线"/>
                <w:color w:val="000000"/>
                <w:sz w:val="24"/>
                <w:szCs w:val="24"/>
                <w:lang w:eastAsia="zh-CN"/>
              </w:rPr>
              <w:t>《</w:t>
            </w:r>
            <w:r>
              <w:rPr>
                <w:rFonts w:hint="eastAsia" w:ascii="等线" w:hAnsi="等线" w:eastAsia="等线"/>
                <w:color w:val="000000"/>
                <w:sz w:val="24"/>
                <w:szCs w:val="24"/>
                <w:lang w:val="en-US" w:eastAsia="zh-CN"/>
              </w:rPr>
              <w:t>健康湖北</w:t>
            </w:r>
            <w:r>
              <w:rPr>
                <w:rFonts w:hint="eastAsia" w:ascii="等线" w:hAnsi="等线" w:eastAsia="等线"/>
                <w:color w:val="000000"/>
                <w:sz w:val="24"/>
                <w:szCs w:val="24"/>
                <w:lang w:eastAsia="zh-CN"/>
              </w:rPr>
              <w:t>》</w:t>
            </w:r>
            <w:r>
              <w:rPr>
                <w:rFonts w:hint="eastAsia" w:ascii="等线" w:hAnsi="等线" w:eastAsia="等线"/>
                <w:color w:val="000000"/>
                <w:sz w:val="24"/>
                <w:szCs w:val="24"/>
              </w:rPr>
              <w:t>外，</w:t>
            </w:r>
            <w:r>
              <w:rPr>
                <w:rFonts w:hint="eastAsia" w:ascii="等线" w:hAnsi="等线" w:eastAsia="等线"/>
                <w:color w:val="000000"/>
                <w:sz w:val="24"/>
                <w:szCs w:val="24"/>
                <w:lang w:val="en-US" w:eastAsia="zh-CN"/>
              </w:rPr>
              <w:t>可以</w:t>
            </w:r>
            <w:r>
              <w:rPr>
                <w:rFonts w:hint="eastAsia" w:ascii="等线" w:hAnsi="等线" w:eastAsia="等线"/>
                <w:color w:val="000000"/>
                <w:sz w:val="24"/>
                <w:szCs w:val="24"/>
              </w:rPr>
              <w:t>免费邮寄全年合订本和部分零散</w:t>
            </w:r>
            <w:r>
              <w:rPr>
                <w:rFonts w:hint="eastAsia" w:ascii="等线" w:hAnsi="等线" w:eastAsia="等线"/>
                <w:color w:val="000000"/>
                <w:sz w:val="24"/>
                <w:szCs w:val="24"/>
                <w:lang w:val="en-US" w:eastAsia="zh-CN"/>
              </w:rPr>
              <w:t>印品</w:t>
            </w:r>
            <w:r>
              <w:rPr>
                <w:rFonts w:hint="eastAsia" w:ascii="等线" w:hAnsi="等线" w:eastAsia="等线"/>
                <w:color w:val="000000"/>
                <w:sz w:val="24"/>
                <w:szCs w:val="24"/>
              </w:rPr>
              <w:t xml:space="preserve">。  </w:t>
            </w:r>
          </w:p>
          <w:p w14:paraId="6C900020">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rPr>
              <w:t>2.</w:t>
            </w:r>
            <w:r>
              <w:rPr>
                <w:rFonts w:hint="eastAsia" w:ascii="等线" w:hAnsi="等线" w:eastAsia="等线"/>
                <w:color w:val="000000"/>
                <w:sz w:val="24"/>
                <w:szCs w:val="24"/>
                <w:lang w:val="en-US" w:eastAsia="zh-CN"/>
              </w:rPr>
              <w:t>可以</w:t>
            </w:r>
            <w:r>
              <w:rPr>
                <w:rFonts w:hint="eastAsia" w:ascii="等线" w:hAnsi="等线" w:eastAsia="等线"/>
                <w:color w:val="000000"/>
                <w:sz w:val="24"/>
                <w:szCs w:val="24"/>
              </w:rPr>
              <w:t>按照发放明细及时进行</w:t>
            </w:r>
            <w:r>
              <w:rPr>
                <w:rFonts w:hint="eastAsia" w:ascii="等线" w:hAnsi="等线" w:eastAsia="等线"/>
                <w:color w:val="000000"/>
                <w:sz w:val="24"/>
                <w:szCs w:val="24"/>
                <w:lang w:val="en-US" w:eastAsia="zh-CN"/>
              </w:rPr>
              <w:t>分拣</w:t>
            </w:r>
            <w:r>
              <w:rPr>
                <w:rFonts w:hint="eastAsia" w:ascii="等线" w:hAnsi="等线" w:eastAsia="等线"/>
                <w:color w:val="000000"/>
                <w:sz w:val="24"/>
                <w:szCs w:val="24"/>
              </w:rPr>
              <w:t>、打包、搬运和寄送</w:t>
            </w:r>
            <w:r>
              <w:rPr>
                <w:rFonts w:hint="eastAsia" w:ascii="等线" w:hAnsi="等线" w:eastAsia="等线"/>
                <w:color w:val="000000"/>
                <w:sz w:val="24"/>
                <w:szCs w:val="24"/>
                <w:lang w:eastAsia="zh-CN"/>
              </w:rPr>
              <w:t>，</w:t>
            </w:r>
            <w:r>
              <w:rPr>
                <w:rFonts w:hint="eastAsia" w:ascii="等线" w:hAnsi="等线" w:eastAsia="等线"/>
                <w:color w:val="000000"/>
                <w:sz w:val="24"/>
                <w:szCs w:val="24"/>
                <w:lang w:val="en-US" w:eastAsia="zh-CN"/>
              </w:rPr>
              <w:t>并</w:t>
            </w:r>
            <w:r>
              <w:rPr>
                <w:rFonts w:hint="eastAsia" w:ascii="等线" w:hAnsi="等线" w:eastAsia="等线"/>
                <w:color w:val="000000"/>
                <w:sz w:val="24"/>
                <w:szCs w:val="24"/>
              </w:rPr>
              <w:t>随叫随到指定地点接收和搬运</w:t>
            </w:r>
            <w:r>
              <w:rPr>
                <w:rFonts w:hint="eastAsia" w:ascii="等线" w:hAnsi="等线" w:eastAsia="等线"/>
                <w:color w:val="000000"/>
                <w:sz w:val="24"/>
                <w:szCs w:val="24"/>
                <w:lang w:val="en-US" w:eastAsia="zh-CN"/>
              </w:rPr>
              <w:t>印品</w:t>
            </w:r>
            <w:r>
              <w:rPr>
                <w:rFonts w:hint="eastAsia" w:ascii="等线" w:hAnsi="等线" w:eastAsia="等线"/>
                <w:color w:val="000000"/>
                <w:sz w:val="24"/>
                <w:szCs w:val="24"/>
              </w:rPr>
              <w:t xml:space="preserve">。  </w:t>
            </w:r>
          </w:p>
          <w:p w14:paraId="2735091B">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rPr>
              <w:t>3.</w:t>
            </w:r>
            <w:r>
              <w:rPr>
                <w:rFonts w:hint="eastAsia" w:ascii="等线" w:hAnsi="等线" w:eastAsia="等线"/>
                <w:color w:val="000000"/>
                <w:sz w:val="24"/>
                <w:szCs w:val="24"/>
                <w:lang w:val="en-US" w:eastAsia="zh-CN"/>
              </w:rPr>
              <w:t>可以</w:t>
            </w:r>
            <w:r>
              <w:rPr>
                <w:rFonts w:hint="eastAsia" w:ascii="等线" w:hAnsi="等线" w:eastAsia="等线"/>
                <w:color w:val="000000"/>
                <w:sz w:val="24"/>
                <w:szCs w:val="24"/>
              </w:rPr>
              <w:t>在收到</w:t>
            </w:r>
            <w:r>
              <w:rPr>
                <w:rFonts w:hint="eastAsia" w:ascii="等线" w:hAnsi="等线" w:eastAsia="等线"/>
                <w:color w:val="000000"/>
                <w:sz w:val="24"/>
                <w:szCs w:val="24"/>
                <w:lang w:val="en-US" w:eastAsia="zh-CN"/>
              </w:rPr>
              <w:t>每期《健康湖北》</w:t>
            </w:r>
            <w:r>
              <w:rPr>
                <w:rFonts w:hint="eastAsia" w:ascii="等线" w:hAnsi="等线" w:eastAsia="等线"/>
                <w:color w:val="000000"/>
                <w:sz w:val="24"/>
                <w:szCs w:val="24"/>
              </w:rPr>
              <w:t>后的3-4日（节假日和周末不顺延）内发出，并且确保5-6日内成功送达（送货上门）。</w:t>
            </w:r>
          </w:p>
          <w:p w14:paraId="0DDA224F">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rPr>
              <w:t xml:space="preserve">4. </w:t>
            </w:r>
            <w:r>
              <w:rPr>
                <w:rFonts w:hint="eastAsia" w:ascii="等线" w:hAnsi="等线" w:eastAsia="等线"/>
                <w:color w:val="000000"/>
                <w:sz w:val="24"/>
                <w:szCs w:val="24"/>
                <w:lang w:val="en-US" w:eastAsia="zh-CN"/>
              </w:rPr>
              <w:t>可以</w:t>
            </w:r>
            <w:r>
              <w:rPr>
                <w:rFonts w:hint="eastAsia" w:ascii="等线" w:hAnsi="等线" w:eastAsia="等线"/>
                <w:color w:val="000000"/>
                <w:sz w:val="24"/>
                <w:szCs w:val="24"/>
              </w:rPr>
              <w:t>及时反馈期查询信息，有专门的客服提供查询服务，回复信息不得超过2小时</w:t>
            </w:r>
            <w:r>
              <w:rPr>
                <w:rFonts w:hint="eastAsia" w:ascii="等线" w:hAnsi="等线" w:eastAsia="等线"/>
                <w:color w:val="000000"/>
                <w:sz w:val="24"/>
                <w:szCs w:val="24"/>
                <w:lang w:eastAsia="zh-CN"/>
              </w:rPr>
              <w:t>，</w:t>
            </w:r>
            <w:r>
              <w:rPr>
                <w:rFonts w:hint="eastAsia" w:ascii="等线" w:hAnsi="等线" w:eastAsia="等线"/>
                <w:color w:val="000000"/>
                <w:sz w:val="24"/>
                <w:szCs w:val="24"/>
              </w:rPr>
              <w:t>双休日也不排除在外。</w:t>
            </w:r>
          </w:p>
          <w:p w14:paraId="12C45B97">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lang w:val="en-US" w:eastAsia="zh-CN"/>
              </w:rPr>
              <w:t>5</w:t>
            </w:r>
            <w:r>
              <w:rPr>
                <w:rFonts w:hint="eastAsia" w:ascii="等线" w:hAnsi="等线" w:eastAsia="等线"/>
                <w:color w:val="000000"/>
                <w:sz w:val="24"/>
                <w:szCs w:val="24"/>
              </w:rPr>
              <w:t>.</w:t>
            </w:r>
            <w:r>
              <w:rPr>
                <w:rFonts w:hint="eastAsia" w:ascii="等线" w:hAnsi="等线" w:eastAsia="等线"/>
                <w:color w:val="000000"/>
                <w:sz w:val="24"/>
                <w:szCs w:val="24"/>
                <w:lang w:val="en-US" w:eastAsia="zh-CN"/>
              </w:rPr>
              <w:t>邮寄完成后，可以在</w:t>
            </w:r>
            <w:r>
              <w:rPr>
                <w:rFonts w:hint="eastAsia" w:ascii="等线" w:hAnsi="等线" w:eastAsia="等线"/>
                <w:color w:val="000000"/>
                <w:sz w:val="24"/>
                <w:szCs w:val="24"/>
              </w:rPr>
              <w:t>1周内提供完整准确的单号信息表。</w:t>
            </w:r>
          </w:p>
        </w:tc>
        <w:tc>
          <w:tcPr>
            <w:tcW w:w="1207" w:type="dxa"/>
            <w:tcBorders>
              <w:top w:val="single" w:color="auto" w:sz="6" w:space="0"/>
              <w:left w:val="single" w:color="auto" w:sz="6" w:space="0"/>
              <w:bottom w:val="single" w:color="auto" w:sz="6" w:space="0"/>
              <w:right w:val="single" w:color="auto" w:sz="6" w:space="0"/>
              <w:tl2br w:val="nil"/>
              <w:tr2bl w:val="nil"/>
            </w:tcBorders>
            <w:noWrap w:val="0"/>
            <w:vAlign w:val="top"/>
          </w:tcPr>
          <w:p w14:paraId="4F5FB30A">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等线" w:hAnsi="等线" w:eastAsia="等线"/>
                <w:color w:val="000000"/>
                <w:sz w:val="24"/>
                <w:szCs w:val="24"/>
                <w:lang w:val="en-US" w:eastAsia="zh-CN"/>
              </w:rPr>
            </w:pPr>
            <w:r>
              <w:rPr>
                <w:rFonts w:hint="eastAsia" w:ascii="等线" w:hAnsi="等线" w:eastAsia="等线"/>
                <w:color w:val="000000"/>
                <w:sz w:val="24"/>
                <w:szCs w:val="24"/>
                <w:lang w:val="en-US" w:eastAsia="zh-CN"/>
              </w:rPr>
              <w:t>50</w:t>
            </w:r>
          </w:p>
        </w:tc>
        <w:tc>
          <w:tcPr>
            <w:tcW w:w="1242" w:type="dxa"/>
            <w:tcBorders>
              <w:top w:val="single" w:color="auto" w:sz="6" w:space="0"/>
              <w:left w:val="single" w:color="auto" w:sz="6" w:space="0"/>
              <w:bottom w:val="single" w:color="auto" w:sz="6" w:space="0"/>
              <w:right w:val="single" w:color="auto" w:sz="6" w:space="0"/>
              <w:tl2br w:val="nil"/>
              <w:tr2bl w:val="nil"/>
            </w:tcBorders>
            <w:noWrap w:val="0"/>
            <w:vAlign w:val="top"/>
          </w:tcPr>
          <w:p w14:paraId="2C55B30E">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379" w:type="dxa"/>
            <w:tcBorders>
              <w:top w:val="single" w:color="auto" w:sz="6" w:space="0"/>
              <w:left w:val="single" w:color="auto" w:sz="6" w:space="0"/>
              <w:bottom w:val="single" w:color="auto" w:sz="6" w:space="0"/>
              <w:right w:val="single" w:color="auto" w:sz="6" w:space="0"/>
              <w:tl2br w:val="nil"/>
              <w:tr2bl w:val="nil"/>
            </w:tcBorders>
            <w:noWrap w:val="0"/>
            <w:vAlign w:val="top"/>
          </w:tcPr>
          <w:p w14:paraId="5E6BB469">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172" w:type="dxa"/>
            <w:tcBorders>
              <w:top w:val="single" w:color="auto" w:sz="6" w:space="0"/>
              <w:left w:val="single" w:color="auto" w:sz="6" w:space="0"/>
              <w:bottom w:val="single" w:color="auto" w:sz="6" w:space="0"/>
              <w:right w:val="single" w:color="auto" w:sz="6" w:space="0"/>
              <w:tl2br w:val="nil"/>
              <w:tr2bl w:val="nil"/>
            </w:tcBorders>
            <w:noWrap w:val="0"/>
            <w:vAlign w:val="top"/>
          </w:tcPr>
          <w:p w14:paraId="14B833C9">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r>
      <w:tr w14:paraId="31000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425" w:type="dxa"/>
            <w:tcBorders>
              <w:top w:val="single" w:color="auto" w:sz="6" w:space="0"/>
              <w:left w:val="single" w:color="auto" w:sz="6" w:space="0"/>
              <w:bottom w:val="single" w:color="auto" w:sz="6" w:space="0"/>
              <w:right w:val="single" w:color="auto" w:sz="6" w:space="0"/>
              <w:tl2br w:val="nil"/>
              <w:tr2bl w:val="nil"/>
            </w:tcBorders>
            <w:noWrap w:val="0"/>
            <w:vAlign w:val="top"/>
          </w:tcPr>
          <w:p w14:paraId="185F3343">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等线" w:hAnsi="等线" w:eastAsia="等线"/>
                <w:color w:val="000000"/>
                <w:sz w:val="24"/>
                <w:szCs w:val="24"/>
                <w:lang w:eastAsia="zh-CN"/>
              </w:rPr>
            </w:pPr>
            <w:r>
              <w:rPr>
                <w:rFonts w:hint="eastAsia" w:ascii="等线" w:hAnsi="等线" w:eastAsia="等线"/>
                <w:color w:val="000000"/>
                <w:sz w:val="24"/>
                <w:szCs w:val="24"/>
              </w:rPr>
              <w:t>派送</w:t>
            </w:r>
            <w:r>
              <w:rPr>
                <w:rFonts w:hint="eastAsia" w:ascii="等线" w:hAnsi="等线" w:eastAsia="等线"/>
                <w:color w:val="000000"/>
                <w:sz w:val="24"/>
                <w:szCs w:val="24"/>
                <w:lang w:val="en-US" w:eastAsia="zh-CN"/>
              </w:rPr>
              <w:t>能力</w:t>
            </w:r>
          </w:p>
        </w:tc>
        <w:tc>
          <w:tcPr>
            <w:tcW w:w="7688" w:type="dxa"/>
            <w:tcBorders>
              <w:top w:val="single" w:color="auto" w:sz="6" w:space="0"/>
              <w:left w:val="single" w:color="auto" w:sz="6" w:space="0"/>
              <w:bottom w:val="single" w:color="auto" w:sz="6" w:space="0"/>
              <w:right w:val="single" w:color="auto" w:sz="6" w:space="0"/>
              <w:tl2br w:val="nil"/>
              <w:tr2bl w:val="nil"/>
            </w:tcBorders>
            <w:noWrap w:val="0"/>
            <w:vAlign w:val="top"/>
          </w:tcPr>
          <w:p w14:paraId="34CD3717">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rPr>
              <w:t>能够根据不同地域、不同时间节点（如节假日、双十一等）采取多种方式保质保量按时送达，出现错发漏发能够采取措施及时补救</w:t>
            </w:r>
            <w:r>
              <w:rPr>
                <w:rFonts w:hint="eastAsia" w:ascii="等线" w:hAnsi="等线" w:eastAsia="等线"/>
                <w:color w:val="000000"/>
                <w:sz w:val="24"/>
                <w:szCs w:val="24"/>
                <w:lang w:val="en-US" w:eastAsia="zh-CN"/>
              </w:rPr>
              <w:t>的情况</w:t>
            </w:r>
            <w:r>
              <w:rPr>
                <w:rFonts w:hint="eastAsia" w:ascii="等线" w:hAnsi="等线" w:eastAsia="等线"/>
                <w:color w:val="000000"/>
                <w:sz w:val="24"/>
                <w:szCs w:val="24"/>
              </w:rPr>
              <w:t>。</w:t>
            </w:r>
          </w:p>
        </w:tc>
        <w:tc>
          <w:tcPr>
            <w:tcW w:w="1207" w:type="dxa"/>
            <w:tcBorders>
              <w:top w:val="single" w:color="auto" w:sz="6" w:space="0"/>
              <w:left w:val="single" w:color="auto" w:sz="6" w:space="0"/>
              <w:bottom w:val="single" w:color="auto" w:sz="6" w:space="0"/>
              <w:right w:val="single" w:color="auto" w:sz="6" w:space="0"/>
              <w:tl2br w:val="nil"/>
              <w:tr2bl w:val="nil"/>
            </w:tcBorders>
            <w:noWrap w:val="0"/>
            <w:vAlign w:val="top"/>
          </w:tcPr>
          <w:p w14:paraId="06964737">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等线" w:hAnsi="等线" w:eastAsia="等线"/>
                <w:color w:val="000000"/>
                <w:sz w:val="24"/>
                <w:szCs w:val="24"/>
                <w:lang w:val="en-US" w:eastAsia="zh-CN"/>
              </w:rPr>
            </w:pPr>
            <w:r>
              <w:rPr>
                <w:rFonts w:hint="eastAsia" w:ascii="等线" w:hAnsi="等线" w:eastAsia="等线"/>
                <w:color w:val="000000"/>
                <w:sz w:val="24"/>
                <w:szCs w:val="24"/>
                <w:lang w:val="en-US" w:eastAsia="zh-CN"/>
              </w:rPr>
              <w:t>15</w:t>
            </w:r>
          </w:p>
        </w:tc>
        <w:tc>
          <w:tcPr>
            <w:tcW w:w="1242" w:type="dxa"/>
            <w:tcBorders>
              <w:top w:val="single" w:color="auto" w:sz="6" w:space="0"/>
              <w:left w:val="single" w:color="auto" w:sz="6" w:space="0"/>
              <w:bottom w:val="single" w:color="auto" w:sz="6" w:space="0"/>
              <w:right w:val="single" w:color="auto" w:sz="6" w:space="0"/>
              <w:tl2br w:val="nil"/>
              <w:tr2bl w:val="nil"/>
            </w:tcBorders>
            <w:noWrap w:val="0"/>
            <w:vAlign w:val="top"/>
          </w:tcPr>
          <w:p w14:paraId="1C2C2E45">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379" w:type="dxa"/>
            <w:tcBorders>
              <w:top w:val="single" w:color="auto" w:sz="6" w:space="0"/>
              <w:left w:val="single" w:color="auto" w:sz="6" w:space="0"/>
              <w:bottom w:val="single" w:color="auto" w:sz="6" w:space="0"/>
              <w:right w:val="single" w:color="auto" w:sz="6" w:space="0"/>
              <w:tl2br w:val="nil"/>
              <w:tr2bl w:val="nil"/>
            </w:tcBorders>
            <w:noWrap w:val="0"/>
            <w:vAlign w:val="top"/>
          </w:tcPr>
          <w:p w14:paraId="1BBD122C">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172" w:type="dxa"/>
            <w:tcBorders>
              <w:top w:val="single" w:color="auto" w:sz="6" w:space="0"/>
              <w:left w:val="single" w:color="auto" w:sz="6" w:space="0"/>
              <w:bottom w:val="single" w:color="auto" w:sz="6" w:space="0"/>
              <w:right w:val="single" w:color="auto" w:sz="6" w:space="0"/>
              <w:tl2br w:val="nil"/>
              <w:tr2bl w:val="nil"/>
            </w:tcBorders>
            <w:noWrap w:val="0"/>
            <w:vAlign w:val="top"/>
          </w:tcPr>
          <w:p w14:paraId="632A8D69">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r>
      <w:tr w14:paraId="003CB0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425" w:type="dxa"/>
            <w:tcBorders>
              <w:top w:val="single" w:color="auto" w:sz="6" w:space="0"/>
              <w:left w:val="single" w:color="auto" w:sz="6" w:space="0"/>
              <w:bottom w:val="single" w:color="auto" w:sz="6" w:space="0"/>
              <w:right w:val="single" w:color="auto" w:sz="6" w:space="0"/>
              <w:tl2br w:val="nil"/>
              <w:tr2bl w:val="nil"/>
            </w:tcBorders>
            <w:noWrap w:val="0"/>
            <w:vAlign w:val="top"/>
          </w:tcPr>
          <w:p w14:paraId="1DE5B293">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default" w:ascii="等线" w:hAnsi="等线" w:eastAsia="等线"/>
                <w:color w:val="000000"/>
                <w:sz w:val="24"/>
                <w:szCs w:val="24"/>
                <w:lang w:val="en-US" w:eastAsia="zh-CN"/>
              </w:rPr>
            </w:pPr>
            <w:r>
              <w:rPr>
                <w:rFonts w:hint="eastAsia" w:ascii="等线" w:hAnsi="等线" w:eastAsia="等线"/>
                <w:color w:val="000000"/>
                <w:sz w:val="24"/>
                <w:szCs w:val="24"/>
                <w:lang w:val="en-US" w:eastAsia="zh-CN"/>
              </w:rPr>
              <w:t>财务能力</w:t>
            </w:r>
          </w:p>
        </w:tc>
        <w:tc>
          <w:tcPr>
            <w:tcW w:w="7688" w:type="dxa"/>
            <w:tcBorders>
              <w:top w:val="single" w:color="auto" w:sz="6" w:space="0"/>
              <w:left w:val="single" w:color="auto" w:sz="6" w:space="0"/>
              <w:bottom w:val="single" w:color="auto" w:sz="6" w:space="0"/>
              <w:right w:val="single" w:color="auto" w:sz="6" w:space="0"/>
              <w:tl2br w:val="nil"/>
              <w:tr2bl w:val="nil"/>
            </w:tcBorders>
            <w:noWrap w:val="0"/>
            <w:vAlign w:val="top"/>
          </w:tcPr>
          <w:p w14:paraId="779082C9">
            <w:pPr>
              <w:keepNext w:val="0"/>
              <w:keepLines w:val="0"/>
              <w:pageBreakBefore w:val="0"/>
              <w:widowControl/>
              <w:kinsoku/>
              <w:wordWrap/>
              <w:overflowPunct/>
              <w:topLinePunct w:val="0"/>
              <w:autoSpaceDE/>
              <w:autoSpaceDN/>
              <w:bidi w:val="0"/>
              <w:adjustRightInd/>
              <w:snapToGrid/>
              <w:spacing w:beforeLines="0" w:afterLines="0" w:line="360" w:lineRule="exact"/>
              <w:jc w:val="left"/>
              <w:textAlignment w:val="auto"/>
              <w:rPr>
                <w:rFonts w:hint="eastAsia" w:ascii="等线" w:hAnsi="等线" w:eastAsia="等线"/>
                <w:color w:val="000000"/>
                <w:sz w:val="24"/>
                <w:szCs w:val="24"/>
              </w:rPr>
            </w:pPr>
            <w:r>
              <w:rPr>
                <w:rFonts w:hint="eastAsia" w:ascii="等线" w:hAnsi="等线" w:eastAsia="等线"/>
                <w:color w:val="000000"/>
                <w:sz w:val="24"/>
                <w:szCs w:val="24"/>
              </w:rPr>
              <w:t>有3期邮寄费的垫支能力 。</w:t>
            </w:r>
          </w:p>
        </w:tc>
        <w:tc>
          <w:tcPr>
            <w:tcW w:w="1207" w:type="dxa"/>
            <w:tcBorders>
              <w:top w:val="single" w:color="auto" w:sz="6" w:space="0"/>
              <w:left w:val="single" w:color="auto" w:sz="6" w:space="0"/>
              <w:bottom w:val="single" w:color="auto" w:sz="6" w:space="0"/>
              <w:right w:val="single" w:color="auto" w:sz="6" w:space="0"/>
              <w:tl2br w:val="nil"/>
              <w:tr2bl w:val="nil"/>
            </w:tcBorders>
            <w:noWrap w:val="0"/>
            <w:vAlign w:val="top"/>
          </w:tcPr>
          <w:p w14:paraId="34450C4F">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等线" w:hAnsi="等线" w:eastAsia="等线"/>
                <w:color w:val="000000"/>
                <w:sz w:val="24"/>
                <w:szCs w:val="24"/>
              </w:rPr>
            </w:pPr>
            <w:r>
              <w:rPr>
                <w:rFonts w:hint="eastAsia" w:ascii="等线" w:hAnsi="等线" w:eastAsia="等线"/>
                <w:color w:val="000000"/>
                <w:sz w:val="24"/>
                <w:szCs w:val="24"/>
              </w:rPr>
              <w:t>10</w:t>
            </w:r>
          </w:p>
        </w:tc>
        <w:tc>
          <w:tcPr>
            <w:tcW w:w="1242" w:type="dxa"/>
            <w:tcBorders>
              <w:top w:val="single" w:color="auto" w:sz="6" w:space="0"/>
              <w:left w:val="single" w:color="auto" w:sz="6" w:space="0"/>
              <w:bottom w:val="single" w:color="auto" w:sz="6" w:space="0"/>
              <w:right w:val="single" w:color="auto" w:sz="6" w:space="0"/>
              <w:tl2br w:val="nil"/>
              <w:tr2bl w:val="nil"/>
            </w:tcBorders>
            <w:noWrap w:val="0"/>
            <w:vAlign w:val="top"/>
          </w:tcPr>
          <w:p w14:paraId="33A4A900">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379" w:type="dxa"/>
            <w:tcBorders>
              <w:top w:val="single" w:color="auto" w:sz="6" w:space="0"/>
              <w:left w:val="single" w:color="auto" w:sz="6" w:space="0"/>
              <w:bottom w:val="single" w:color="auto" w:sz="6" w:space="0"/>
              <w:right w:val="single" w:color="auto" w:sz="6" w:space="0"/>
              <w:tl2br w:val="nil"/>
              <w:tr2bl w:val="nil"/>
            </w:tcBorders>
            <w:noWrap w:val="0"/>
            <w:vAlign w:val="top"/>
          </w:tcPr>
          <w:p w14:paraId="1EEB3590">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172" w:type="dxa"/>
            <w:tcBorders>
              <w:top w:val="single" w:color="auto" w:sz="6" w:space="0"/>
              <w:left w:val="single" w:color="auto" w:sz="6" w:space="0"/>
              <w:bottom w:val="single" w:color="auto" w:sz="6" w:space="0"/>
              <w:right w:val="single" w:color="auto" w:sz="6" w:space="0"/>
              <w:tl2br w:val="nil"/>
              <w:tr2bl w:val="nil"/>
            </w:tcBorders>
            <w:noWrap w:val="0"/>
            <w:vAlign w:val="top"/>
          </w:tcPr>
          <w:p w14:paraId="1BB7EDF2">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r>
      <w:tr w14:paraId="25725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425" w:type="dxa"/>
            <w:tcBorders>
              <w:top w:val="single" w:color="auto" w:sz="6" w:space="0"/>
              <w:left w:val="single" w:color="auto" w:sz="6" w:space="0"/>
              <w:bottom w:val="single" w:color="auto" w:sz="6" w:space="0"/>
              <w:right w:val="single" w:color="auto" w:sz="6" w:space="0"/>
              <w:tl2br w:val="nil"/>
              <w:tr2bl w:val="nil"/>
            </w:tcBorders>
            <w:noWrap w:val="0"/>
            <w:vAlign w:val="top"/>
          </w:tcPr>
          <w:p w14:paraId="40F7FC71">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等线" w:hAnsi="等线" w:eastAsia="等线"/>
                <w:b/>
                <w:color w:val="000000"/>
                <w:sz w:val="24"/>
                <w:szCs w:val="24"/>
              </w:rPr>
            </w:pPr>
            <w:r>
              <w:rPr>
                <w:rFonts w:hint="eastAsia" w:ascii="等线" w:hAnsi="等线" w:eastAsia="等线"/>
                <w:b/>
                <w:color w:val="000000"/>
                <w:sz w:val="24"/>
                <w:szCs w:val="24"/>
              </w:rPr>
              <w:t>总分</w:t>
            </w:r>
          </w:p>
        </w:tc>
        <w:tc>
          <w:tcPr>
            <w:tcW w:w="7688" w:type="dxa"/>
            <w:tcBorders>
              <w:top w:val="single" w:color="auto" w:sz="6" w:space="0"/>
              <w:left w:val="single" w:color="auto" w:sz="6" w:space="0"/>
              <w:bottom w:val="single" w:color="auto" w:sz="6" w:space="0"/>
              <w:right w:val="single" w:color="auto" w:sz="6" w:space="0"/>
              <w:tl2br w:val="nil"/>
              <w:tr2bl w:val="nil"/>
            </w:tcBorders>
            <w:noWrap w:val="0"/>
            <w:vAlign w:val="top"/>
          </w:tcPr>
          <w:p w14:paraId="72BEBECD">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等线" w:hAnsi="等线" w:eastAsia="等线"/>
                <w:b/>
                <w:color w:val="000000"/>
                <w:sz w:val="24"/>
                <w:szCs w:val="24"/>
              </w:rPr>
            </w:pPr>
          </w:p>
        </w:tc>
        <w:tc>
          <w:tcPr>
            <w:tcW w:w="1207" w:type="dxa"/>
            <w:tcBorders>
              <w:top w:val="single" w:color="auto" w:sz="6" w:space="0"/>
              <w:left w:val="single" w:color="auto" w:sz="6" w:space="0"/>
              <w:bottom w:val="single" w:color="auto" w:sz="6" w:space="0"/>
              <w:right w:val="single" w:color="auto" w:sz="6" w:space="0"/>
              <w:tl2br w:val="nil"/>
              <w:tr2bl w:val="nil"/>
            </w:tcBorders>
            <w:noWrap w:val="0"/>
            <w:vAlign w:val="top"/>
          </w:tcPr>
          <w:p w14:paraId="7C32E487">
            <w:pPr>
              <w:keepNext w:val="0"/>
              <w:keepLines w:val="0"/>
              <w:pageBreakBefore w:val="0"/>
              <w:widowControl/>
              <w:kinsoku/>
              <w:wordWrap/>
              <w:overflowPunct/>
              <w:topLinePunct w:val="0"/>
              <w:autoSpaceDE/>
              <w:autoSpaceDN/>
              <w:bidi w:val="0"/>
              <w:adjustRightInd/>
              <w:snapToGrid/>
              <w:spacing w:beforeLines="0" w:afterLines="0" w:line="360" w:lineRule="exact"/>
              <w:jc w:val="center"/>
              <w:textAlignment w:val="auto"/>
              <w:rPr>
                <w:rFonts w:hint="eastAsia" w:ascii="等线" w:hAnsi="等线" w:eastAsia="等线"/>
                <w:color w:val="000000"/>
                <w:sz w:val="24"/>
                <w:szCs w:val="24"/>
              </w:rPr>
            </w:pPr>
            <w:r>
              <w:rPr>
                <w:rFonts w:hint="eastAsia" w:ascii="等线" w:hAnsi="等线" w:eastAsia="等线"/>
                <w:color w:val="000000"/>
                <w:sz w:val="24"/>
                <w:szCs w:val="24"/>
              </w:rPr>
              <w:t>100</w:t>
            </w:r>
          </w:p>
        </w:tc>
        <w:tc>
          <w:tcPr>
            <w:tcW w:w="1242" w:type="dxa"/>
            <w:tcBorders>
              <w:top w:val="single" w:color="auto" w:sz="6" w:space="0"/>
              <w:left w:val="single" w:color="auto" w:sz="6" w:space="0"/>
              <w:bottom w:val="single" w:color="auto" w:sz="6" w:space="0"/>
              <w:right w:val="single" w:color="auto" w:sz="6" w:space="0"/>
              <w:tl2br w:val="nil"/>
              <w:tr2bl w:val="nil"/>
            </w:tcBorders>
            <w:noWrap w:val="0"/>
            <w:vAlign w:val="top"/>
          </w:tcPr>
          <w:p w14:paraId="416E01E1">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379" w:type="dxa"/>
            <w:tcBorders>
              <w:top w:val="single" w:color="auto" w:sz="6" w:space="0"/>
              <w:left w:val="single" w:color="auto" w:sz="6" w:space="0"/>
              <w:bottom w:val="single" w:color="auto" w:sz="6" w:space="0"/>
              <w:right w:val="single" w:color="auto" w:sz="6" w:space="0"/>
              <w:tl2br w:val="nil"/>
              <w:tr2bl w:val="nil"/>
            </w:tcBorders>
            <w:noWrap w:val="0"/>
            <w:vAlign w:val="top"/>
          </w:tcPr>
          <w:p w14:paraId="0D9FE71D">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c>
          <w:tcPr>
            <w:tcW w:w="1172" w:type="dxa"/>
            <w:tcBorders>
              <w:top w:val="single" w:color="auto" w:sz="6" w:space="0"/>
              <w:left w:val="single" w:color="auto" w:sz="6" w:space="0"/>
              <w:bottom w:val="single" w:color="auto" w:sz="6" w:space="0"/>
              <w:right w:val="single" w:color="auto" w:sz="6" w:space="0"/>
              <w:tl2br w:val="nil"/>
              <w:tr2bl w:val="nil"/>
            </w:tcBorders>
            <w:noWrap w:val="0"/>
            <w:vAlign w:val="top"/>
          </w:tcPr>
          <w:p w14:paraId="79230B44">
            <w:pPr>
              <w:keepNext w:val="0"/>
              <w:keepLines w:val="0"/>
              <w:pageBreakBefore w:val="0"/>
              <w:widowControl/>
              <w:kinsoku/>
              <w:wordWrap/>
              <w:overflowPunct/>
              <w:topLinePunct w:val="0"/>
              <w:autoSpaceDE/>
              <w:autoSpaceDN/>
              <w:bidi w:val="0"/>
              <w:adjustRightInd/>
              <w:snapToGrid/>
              <w:spacing w:beforeLines="0" w:afterLines="0" w:line="360" w:lineRule="exact"/>
              <w:jc w:val="right"/>
              <w:textAlignment w:val="auto"/>
              <w:rPr>
                <w:rFonts w:hint="eastAsia" w:ascii="等线" w:hAnsi="等线" w:eastAsia="等线"/>
                <w:color w:val="000000"/>
                <w:sz w:val="24"/>
                <w:szCs w:val="24"/>
              </w:rPr>
            </w:pPr>
          </w:p>
        </w:tc>
      </w:tr>
    </w:tbl>
    <w:p w14:paraId="761D8963">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rPr>
      </w:pPr>
    </w:p>
    <w:sectPr>
      <w:pgSz w:w="16838" w:h="11906" w:orient="landscape"/>
      <w:pgMar w:top="1293" w:right="1270" w:bottom="1293" w:left="127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方正仿宋_GBK">
    <w:panose1 w:val="03000509000000000000"/>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9CA38">
    <w:pPr>
      <w:pStyle w:val="3"/>
    </w:pPr>
  </w:p>
  <w:p w14:paraId="2F5DC93F">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A1941B9">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2A1941B9">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5C842">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2F1B6A"/>
    <w:multiLevelType w:val="singleLevel"/>
    <w:tmpl w:val="A92F1B6A"/>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ZhZGJiZDMzM2JlYmQxMDcwYzAwNmZiMTYwOThhODIifQ=="/>
  </w:docVars>
  <w:rsids>
    <w:rsidRoot w:val="00172A27"/>
    <w:rsid w:val="00022425"/>
    <w:rsid w:val="00093272"/>
    <w:rsid w:val="001A14DA"/>
    <w:rsid w:val="00350359"/>
    <w:rsid w:val="005C5F60"/>
    <w:rsid w:val="00823C3F"/>
    <w:rsid w:val="00A20AEE"/>
    <w:rsid w:val="00A65FD9"/>
    <w:rsid w:val="00B00E03"/>
    <w:rsid w:val="00BA2293"/>
    <w:rsid w:val="00D769E6"/>
    <w:rsid w:val="068D509B"/>
    <w:rsid w:val="076B2954"/>
    <w:rsid w:val="07A1516D"/>
    <w:rsid w:val="08FA3336"/>
    <w:rsid w:val="09ED2E9B"/>
    <w:rsid w:val="0AF3628F"/>
    <w:rsid w:val="0D4234FE"/>
    <w:rsid w:val="0D9730C4"/>
    <w:rsid w:val="10563D94"/>
    <w:rsid w:val="11292A0B"/>
    <w:rsid w:val="15CD7C63"/>
    <w:rsid w:val="1DA67191"/>
    <w:rsid w:val="1E576D52"/>
    <w:rsid w:val="1E7159F1"/>
    <w:rsid w:val="1ED67C62"/>
    <w:rsid w:val="1F7A63A0"/>
    <w:rsid w:val="22430E94"/>
    <w:rsid w:val="237D33A2"/>
    <w:rsid w:val="25091CF6"/>
    <w:rsid w:val="283967BF"/>
    <w:rsid w:val="2976035F"/>
    <w:rsid w:val="2DB372C8"/>
    <w:rsid w:val="2DCA5F66"/>
    <w:rsid w:val="2E633C8E"/>
    <w:rsid w:val="2F692E67"/>
    <w:rsid w:val="3094148E"/>
    <w:rsid w:val="319B1A53"/>
    <w:rsid w:val="3279475B"/>
    <w:rsid w:val="335D3AD4"/>
    <w:rsid w:val="348953EB"/>
    <w:rsid w:val="34E16FD5"/>
    <w:rsid w:val="35F277B7"/>
    <w:rsid w:val="3728536F"/>
    <w:rsid w:val="3D6D35B9"/>
    <w:rsid w:val="40D672C6"/>
    <w:rsid w:val="46160AEE"/>
    <w:rsid w:val="461910A5"/>
    <w:rsid w:val="4BA5240C"/>
    <w:rsid w:val="4D04165B"/>
    <w:rsid w:val="539E0A3C"/>
    <w:rsid w:val="54C811C0"/>
    <w:rsid w:val="552054A7"/>
    <w:rsid w:val="59584C0E"/>
    <w:rsid w:val="5C2515ED"/>
    <w:rsid w:val="60DC1E35"/>
    <w:rsid w:val="61F23D20"/>
    <w:rsid w:val="63EF096A"/>
    <w:rsid w:val="64CA4A71"/>
    <w:rsid w:val="64CE7CB1"/>
    <w:rsid w:val="67CD6853"/>
    <w:rsid w:val="684000C0"/>
    <w:rsid w:val="6CE52EB8"/>
    <w:rsid w:val="6E5C6F71"/>
    <w:rsid w:val="6F926B42"/>
    <w:rsid w:val="7227222B"/>
    <w:rsid w:val="72614C49"/>
    <w:rsid w:val="732D2CE4"/>
    <w:rsid w:val="737B1518"/>
    <w:rsid w:val="75344F56"/>
    <w:rsid w:val="78FC3CB7"/>
    <w:rsid w:val="7B723B17"/>
    <w:rsid w:val="7FDD79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jc w:val="both"/>
    </w:pPr>
    <w:rPr>
      <w:rFonts w:ascii="Times New Roman" w:hAnsi="Times New Roman" w:eastAsia="宋体" w:cs="Times New Roman"/>
      <w:kern w:val="2"/>
      <w:sz w:val="21"/>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semiHidden/>
    <w:unhideWhenUsed/>
    <w:qFormat/>
    <w:uiPriority w:val="99"/>
    <w:pPr>
      <w:spacing w:after="120"/>
      <w:ind w:left="42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Body Text First Indent 2"/>
    <w:basedOn w:val="2"/>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3234</Words>
  <Characters>3511</Characters>
  <Lines>25</Lines>
  <Paragraphs>7</Paragraphs>
  <TotalTime>936</TotalTime>
  <ScaleCrop>false</ScaleCrop>
  <LinksUpToDate>false</LinksUpToDate>
  <CharactersWithSpaces>3804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2024-12-04T02:14:00Z</dcterms:created>
  <dc:creator>HP</dc:creator>
  <cp:lastModifiedBy>lucky  dog</cp:lastModifiedBy>
  <cp:lastPrinted>2024-12-04T02:46:00Z</cp:lastPrinted>
  <dcterms:modified xsi:type="dcterms:W3CDTF">2025-01-14T00:58:12Z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E9921737EB66498FBC288A84F32A6912_13</vt:lpwstr>
  </property>
  <property fmtid="{D5CDD505-2E9C-101B-9397-08002B2CF9AE}" pid="4" name="KSOTemplateDocerSaveRecord">
    <vt:lpwstr>eyJoZGlkIjoiMTU2NjI5ZTI5NDYxODYxNGFlYzlhN2QxZjI4MDkwNDgiLCJ1c2VySWQiOiI0MzIyMDY5MzUifQ==</vt:lpwstr>
  </property>
</Properties>
</file>