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湖北省医疗机构、医师、护士电子化注册系统运行维护项目采购需求文件</w:t>
      </w:r>
    </w:p>
    <w:p>
      <w:pPr>
        <w:jc w:val="center"/>
        <w:rPr>
          <w:rFonts w:ascii="仿宋_GB2312" w:eastAsia="仿宋_GB2312"/>
          <w:sz w:val="44"/>
          <w:szCs w:val="44"/>
        </w:rPr>
      </w:pPr>
    </w:p>
    <w:p>
      <w:pPr>
        <w:ind w:firstLine="560" w:firstLineChars="200"/>
        <w:rPr>
          <w:rFonts w:ascii="仿宋_GB2312" w:eastAsia="仿宋_GB2312"/>
          <w:sz w:val="28"/>
          <w:szCs w:val="28"/>
        </w:rPr>
      </w:pPr>
      <w:r>
        <w:rPr>
          <w:rFonts w:hint="eastAsia" w:ascii="仿宋_GB2312" w:eastAsia="仿宋_GB2312"/>
          <w:sz w:val="28"/>
          <w:szCs w:val="28"/>
        </w:rPr>
        <w:t>依据湖北省本级政府采购项目备案书（备案编号：420000-2024-</w:t>
      </w:r>
      <w:r>
        <w:rPr>
          <w:rFonts w:hint="eastAsia" w:ascii="仿宋_GB2312" w:eastAsia="仿宋_GB2312"/>
          <w:sz w:val="28"/>
          <w:szCs w:val="28"/>
          <w:lang w:val="en-US" w:eastAsia="zh-CN"/>
        </w:rPr>
        <w:t>09757</w:t>
      </w:r>
      <w:r>
        <w:rPr>
          <w:rFonts w:hint="eastAsia" w:ascii="仿宋_GB2312" w:eastAsia="仿宋_GB2312"/>
          <w:sz w:val="28"/>
          <w:szCs w:val="28"/>
        </w:rPr>
        <w:t>），现委托湖北省公共资源交易中心（湖北省政府采购中心）就“湖北省医疗机构、医师、护士电子化注册系统运行维护服务”进行公开招标采购。</w:t>
      </w:r>
    </w:p>
    <w:p>
      <w:pPr>
        <w:ind w:firstLine="560" w:firstLineChars="200"/>
        <w:rPr>
          <w:rFonts w:ascii="仿宋_GB2312" w:eastAsia="仿宋_GB2312"/>
          <w:sz w:val="28"/>
          <w:szCs w:val="28"/>
        </w:rPr>
      </w:pPr>
      <w:r>
        <w:rPr>
          <w:rFonts w:ascii="仿宋_GB2312" w:eastAsia="仿宋_GB2312"/>
          <w:sz w:val="28"/>
          <w:szCs w:val="28"/>
        </w:rPr>
        <w:t>本</w:t>
      </w:r>
      <w:r>
        <w:rPr>
          <w:rFonts w:hint="eastAsia" w:ascii="仿宋_GB2312" w:eastAsia="仿宋_GB2312"/>
          <w:sz w:val="28"/>
          <w:szCs w:val="28"/>
        </w:rPr>
        <w:t>项目</w:t>
      </w:r>
      <w:r>
        <w:rPr>
          <w:rFonts w:ascii="仿宋_GB2312" w:eastAsia="仿宋_GB2312"/>
          <w:sz w:val="28"/>
          <w:szCs w:val="28"/>
        </w:rPr>
        <w:t>采购</w:t>
      </w:r>
      <w:r>
        <w:rPr>
          <w:rFonts w:hint="eastAsia" w:ascii="仿宋_GB2312" w:eastAsia="仿宋_GB2312"/>
          <w:sz w:val="28"/>
          <w:szCs w:val="28"/>
        </w:rPr>
        <w:t>预算：人民币35万元；最高限价：人民币35万元。</w:t>
      </w:r>
      <w:bookmarkStart w:id="6" w:name="_GoBack"/>
      <w:bookmarkEnd w:id="6"/>
    </w:p>
    <w:p>
      <w:pPr>
        <w:ind w:firstLine="560" w:firstLineChars="200"/>
        <w:rPr>
          <w:rFonts w:ascii="仿宋_GB2312" w:eastAsia="仿宋_GB2312"/>
          <w:sz w:val="28"/>
          <w:szCs w:val="28"/>
        </w:rPr>
      </w:pPr>
    </w:p>
    <w:p>
      <w:pPr>
        <w:jc w:val="center"/>
        <w:rPr>
          <w:rFonts w:ascii="仿宋_GB2312" w:eastAsia="仿宋_GB2312"/>
          <w:sz w:val="44"/>
          <w:szCs w:val="44"/>
        </w:rPr>
      </w:pPr>
      <w:bookmarkStart w:id="0" w:name="_Toc68185544"/>
      <w:bookmarkStart w:id="1" w:name="_Toc1458930"/>
      <w:bookmarkStart w:id="2" w:name="_Toc3974930"/>
      <w:r>
        <w:rPr>
          <w:rFonts w:hint="eastAsia" w:ascii="仿宋_GB2312" w:eastAsia="仿宋_GB2312"/>
          <w:sz w:val="44"/>
          <w:szCs w:val="44"/>
        </w:rPr>
        <w:t>第一部分  供应商资格要求</w:t>
      </w:r>
      <w:bookmarkEnd w:id="0"/>
      <w:bookmarkEnd w:id="1"/>
      <w:bookmarkEnd w:id="2"/>
    </w:p>
    <w:p>
      <w:pPr>
        <w:jc w:val="center"/>
        <w:rPr>
          <w:rFonts w:ascii="仿宋_GB2312" w:eastAsia="仿宋_GB2312"/>
          <w:sz w:val="28"/>
          <w:szCs w:val="28"/>
        </w:rPr>
      </w:pPr>
      <w:r>
        <w:rPr>
          <w:rFonts w:hint="eastAsia" w:ascii="仿宋_GB2312" w:eastAsia="仿宋_GB2312"/>
          <w:sz w:val="28"/>
          <w:szCs w:val="28"/>
        </w:rPr>
        <w:t>1、满足《中华人民共和国政府采购法》第二十二条规定，即：</w:t>
      </w:r>
    </w:p>
    <w:p>
      <w:pPr>
        <w:ind w:firstLine="560" w:firstLineChars="200"/>
        <w:rPr>
          <w:rFonts w:ascii="仿宋_GB2312" w:eastAsia="仿宋_GB2312"/>
          <w:sz w:val="28"/>
          <w:szCs w:val="28"/>
        </w:rPr>
      </w:pPr>
      <w:r>
        <w:rPr>
          <w:rFonts w:hint="eastAsia" w:ascii="仿宋_GB2312" w:eastAsia="仿宋_GB2312"/>
          <w:sz w:val="28"/>
          <w:szCs w:val="28"/>
        </w:rPr>
        <w:t>（1）具有独立承担民事责任的能力；</w:t>
      </w:r>
    </w:p>
    <w:p>
      <w:pPr>
        <w:ind w:firstLine="560" w:firstLineChars="200"/>
        <w:rPr>
          <w:rFonts w:ascii="仿宋_GB2312" w:eastAsia="仿宋_GB2312"/>
          <w:sz w:val="28"/>
          <w:szCs w:val="28"/>
        </w:rPr>
      </w:pPr>
      <w:r>
        <w:rPr>
          <w:rFonts w:hint="eastAsia" w:ascii="仿宋_GB2312" w:eastAsia="仿宋_GB2312"/>
          <w:sz w:val="28"/>
          <w:szCs w:val="28"/>
        </w:rPr>
        <w:t>（2）具有良好的商业信誉和健全的财务会计制度；</w:t>
      </w:r>
    </w:p>
    <w:p>
      <w:pPr>
        <w:ind w:firstLine="560" w:firstLineChars="200"/>
        <w:rPr>
          <w:rFonts w:ascii="仿宋_GB2312" w:eastAsia="仿宋_GB2312"/>
          <w:sz w:val="28"/>
          <w:szCs w:val="28"/>
        </w:rPr>
      </w:pPr>
      <w:r>
        <w:rPr>
          <w:rFonts w:hint="eastAsia" w:ascii="仿宋_GB2312" w:eastAsia="仿宋_GB2312"/>
          <w:sz w:val="28"/>
          <w:szCs w:val="28"/>
        </w:rPr>
        <w:t>（3）具有履行合同所必需的设备和专业技术能力；</w:t>
      </w:r>
    </w:p>
    <w:p>
      <w:pPr>
        <w:ind w:firstLine="560" w:firstLineChars="200"/>
        <w:rPr>
          <w:rFonts w:ascii="仿宋_GB2312" w:eastAsia="仿宋_GB2312"/>
          <w:sz w:val="28"/>
          <w:szCs w:val="28"/>
        </w:rPr>
      </w:pPr>
      <w:r>
        <w:rPr>
          <w:rFonts w:hint="eastAsia" w:ascii="仿宋_GB2312" w:eastAsia="仿宋_GB2312"/>
          <w:sz w:val="28"/>
          <w:szCs w:val="28"/>
        </w:rPr>
        <w:t>（4）有依法缴纳税收和社会保障资金的良好记录；</w:t>
      </w:r>
    </w:p>
    <w:p>
      <w:pPr>
        <w:ind w:firstLine="560" w:firstLineChars="200"/>
        <w:rPr>
          <w:rFonts w:ascii="仿宋_GB2312" w:eastAsia="仿宋_GB2312"/>
          <w:sz w:val="28"/>
          <w:szCs w:val="28"/>
        </w:rPr>
      </w:pPr>
      <w:r>
        <w:rPr>
          <w:rFonts w:hint="eastAsia" w:ascii="仿宋_GB2312" w:eastAsia="仿宋_GB2312"/>
          <w:sz w:val="28"/>
          <w:szCs w:val="28"/>
        </w:rPr>
        <w:t>（5）参加政府采购活动前三年内，在经营活动中没有重大违法记录；</w:t>
      </w:r>
    </w:p>
    <w:p>
      <w:pPr>
        <w:ind w:firstLine="560" w:firstLineChars="200"/>
        <w:rPr>
          <w:rFonts w:ascii="仿宋_GB2312" w:eastAsia="仿宋_GB2312"/>
          <w:sz w:val="28"/>
          <w:szCs w:val="28"/>
        </w:rPr>
      </w:pPr>
      <w:r>
        <w:rPr>
          <w:rFonts w:hint="eastAsia" w:ascii="仿宋_GB2312" w:eastAsia="仿宋_GB2312"/>
          <w:sz w:val="28"/>
          <w:szCs w:val="28"/>
        </w:rPr>
        <w:t>（6）法律、行政法规规定的其他条件。</w:t>
      </w:r>
    </w:p>
    <w:p>
      <w:pPr>
        <w:ind w:firstLine="560" w:firstLineChars="200"/>
        <w:rPr>
          <w:rFonts w:ascii="仿宋_GB2312" w:eastAsia="仿宋_GB2312"/>
          <w:sz w:val="28"/>
          <w:szCs w:val="28"/>
        </w:rPr>
      </w:pPr>
      <w:r>
        <w:rPr>
          <w:rFonts w:hint="eastAsia" w:ascii="仿宋_GB2312" w:eastAsia="仿宋_GB2312"/>
          <w:sz w:val="28"/>
          <w:szCs w:val="28"/>
        </w:rPr>
        <w:t>2、应未被列入失信被执行人、重大税收违法案件当事人名单，未被列入政府采购严重违法失信行为记录名单；</w:t>
      </w:r>
    </w:p>
    <w:p>
      <w:pPr>
        <w:ind w:firstLine="560" w:firstLineChars="200"/>
        <w:rPr>
          <w:rFonts w:ascii="仿宋_GB2312" w:eastAsia="仿宋_GB2312"/>
          <w:sz w:val="28"/>
          <w:szCs w:val="28"/>
        </w:rPr>
      </w:pPr>
      <w:r>
        <w:rPr>
          <w:rFonts w:hint="eastAsia" w:ascii="仿宋_GB2312" w:eastAsia="仿宋_GB2312"/>
          <w:sz w:val="28"/>
          <w:szCs w:val="28"/>
        </w:rPr>
        <w:t>3、本项目不接受联合体。</w:t>
      </w:r>
    </w:p>
    <w:p>
      <w:pPr>
        <w:rPr>
          <w:rFonts w:hint="eastAsia" w:ascii="仿宋_GB2312" w:eastAsia="仿宋_GB2312"/>
          <w:sz w:val="44"/>
          <w:szCs w:val="44"/>
        </w:rPr>
      </w:pPr>
    </w:p>
    <w:p>
      <w:pPr>
        <w:jc w:val="center"/>
        <w:rPr>
          <w:rFonts w:ascii="仿宋_GB2312" w:eastAsia="仿宋_GB2312"/>
          <w:sz w:val="44"/>
          <w:szCs w:val="44"/>
        </w:rPr>
      </w:pPr>
      <w:bookmarkStart w:id="3" w:name="_Toc511894507"/>
      <w:bookmarkStart w:id="4" w:name="_Toc511889429"/>
      <w:bookmarkStart w:id="5" w:name="_Toc67928881"/>
      <w:r>
        <w:rPr>
          <w:rFonts w:hint="eastAsia" w:ascii="仿宋_GB2312" w:eastAsia="仿宋_GB2312"/>
          <w:sz w:val="44"/>
          <w:szCs w:val="44"/>
        </w:rPr>
        <w:t>第二部分目技术、服务及商务要求</w:t>
      </w:r>
      <w:bookmarkEnd w:id="3"/>
      <w:bookmarkEnd w:id="4"/>
      <w:bookmarkEnd w:id="5"/>
    </w:p>
    <w:p>
      <w:pPr>
        <w:pStyle w:val="11"/>
        <w:widowControl/>
        <w:numPr>
          <w:ilvl w:val="0"/>
          <w:numId w:val="1"/>
        </w:numPr>
        <w:spacing w:line="360" w:lineRule="auto"/>
        <w:ind w:firstLineChars="0"/>
        <w:jc w:val="left"/>
        <w:rPr>
          <w:rFonts w:ascii="黑体" w:hAnsi="黑体" w:eastAsia="黑体"/>
          <w:bCs/>
          <w:sz w:val="32"/>
          <w:szCs w:val="32"/>
        </w:rPr>
      </w:pPr>
      <w:r>
        <w:rPr>
          <w:rFonts w:hint="eastAsia" w:ascii="黑体" w:hAnsi="黑体" w:eastAsia="黑体"/>
          <w:bCs/>
          <w:sz w:val="32"/>
          <w:szCs w:val="32"/>
        </w:rPr>
        <w:t>采购清单</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4251"/>
        <w:gridCol w:w="850"/>
        <w:gridCol w:w="850"/>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pct"/>
            <w:vAlign w:val="center"/>
          </w:tcPr>
          <w:p>
            <w:pPr>
              <w:widowControl/>
              <w:snapToGrid w:val="0"/>
              <w:jc w:val="center"/>
              <w:rPr>
                <w:rFonts w:ascii="宋体" w:hAnsi="宋体" w:eastAsia="宋体" w:cs="宋体"/>
                <w:b/>
                <w:bCs/>
                <w:kern w:val="0"/>
                <w:sz w:val="24"/>
              </w:rPr>
            </w:pPr>
            <w:r>
              <w:rPr>
                <w:rFonts w:hint="eastAsia" w:ascii="宋体" w:hAnsi="宋体" w:eastAsia="宋体" w:cs="宋体"/>
                <w:b/>
                <w:bCs/>
                <w:kern w:val="0"/>
                <w:sz w:val="24"/>
              </w:rPr>
              <w:t>序号</w:t>
            </w:r>
          </w:p>
        </w:tc>
        <w:tc>
          <w:tcPr>
            <w:tcW w:w="2496" w:type="pct"/>
            <w:vAlign w:val="center"/>
          </w:tcPr>
          <w:p>
            <w:pPr>
              <w:widowControl/>
              <w:snapToGrid w:val="0"/>
              <w:jc w:val="center"/>
              <w:rPr>
                <w:rFonts w:ascii="宋体" w:hAnsi="宋体" w:eastAsia="宋体" w:cs="宋体"/>
                <w:b/>
                <w:bCs/>
                <w:kern w:val="0"/>
                <w:sz w:val="24"/>
              </w:rPr>
            </w:pPr>
            <w:r>
              <w:rPr>
                <w:rFonts w:hint="eastAsia" w:ascii="宋体" w:hAnsi="宋体" w:eastAsia="宋体" w:cs="宋体"/>
                <w:b/>
                <w:bCs/>
                <w:kern w:val="0"/>
                <w:sz w:val="24"/>
              </w:rPr>
              <w:t>名称</w:t>
            </w:r>
          </w:p>
        </w:tc>
        <w:tc>
          <w:tcPr>
            <w:tcW w:w="499" w:type="pct"/>
            <w:vAlign w:val="center"/>
          </w:tcPr>
          <w:p>
            <w:pPr>
              <w:widowControl/>
              <w:snapToGrid w:val="0"/>
              <w:jc w:val="center"/>
              <w:rPr>
                <w:rFonts w:ascii="宋体" w:hAnsi="宋体" w:eastAsia="宋体" w:cs="宋体"/>
                <w:b/>
                <w:bCs/>
                <w:kern w:val="0"/>
                <w:sz w:val="24"/>
              </w:rPr>
            </w:pPr>
            <w:r>
              <w:rPr>
                <w:rFonts w:hint="eastAsia" w:ascii="宋体" w:hAnsi="宋体" w:eastAsia="宋体" w:cs="宋体"/>
                <w:b/>
                <w:bCs/>
                <w:kern w:val="0"/>
                <w:sz w:val="24"/>
              </w:rPr>
              <w:t>数量</w:t>
            </w:r>
          </w:p>
        </w:tc>
        <w:tc>
          <w:tcPr>
            <w:tcW w:w="499" w:type="pct"/>
            <w:vAlign w:val="center"/>
          </w:tcPr>
          <w:p>
            <w:pPr>
              <w:widowControl/>
              <w:snapToGrid w:val="0"/>
              <w:jc w:val="center"/>
              <w:rPr>
                <w:rFonts w:ascii="宋体" w:hAnsi="宋体" w:eastAsia="宋体" w:cs="宋体"/>
                <w:b/>
                <w:bCs/>
                <w:kern w:val="0"/>
                <w:sz w:val="24"/>
              </w:rPr>
            </w:pPr>
            <w:r>
              <w:rPr>
                <w:rFonts w:hint="eastAsia" w:ascii="宋体" w:hAnsi="宋体" w:eastAsia="宋体" w:cs="宋体"/>
                <w:b/>
                <w:bCs/>
                <w:kern w:val="0"/>
                <w:sz w:val="24"/>
              </w:rPr>
              <w:t>单位</w:t>
            </w:r>
          </w:p>
        </w:tc>
        <w:tc>
          <w:tcPr>
            <w:tcW w:w="1025" w:type="pct"/>
          </w:tcPr>
          <w:p>
            <w:pPr>
              <w:widowControl/>
              <w:snapToGrid w:val="0"/>
              <w:jc w:val="center"/>
              <w:rPr>
                <w:rFonts w:ascii="宋体" w:hAnsi="宋体" w:eastAsia="宋体" w:cs="宋体"/>
                <w:b/>
                <w:bCs/>
                <w:kern w:val="0"/>
                <w:sz w:val="24"/>
              </w:rPr>
            </w:pPr>
            <w:r>
              <w:rPr>
                <w:rFonts w:hint="eastAsia" w:ascii="宋体" w:hAnsi="宋体" w:eastAsia="宋体" w:cs="宋体"/>
                <w:b/>
                <w:bCs/>
                <w:kern w:val="0"/>
                <w:sz w:val="24"/>
              </w:rPr>
              <w:t>货物/服务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pPr>
              <w:pStyle w:val="11"/>
              <w:widowControl/>
              <w:spacing w:line="360" w:lineRule="auto"/>
              <w:ind w:firstLine="0" w:firstLineChars="0"/>
              <w:jc w:val="center"/>
              <w:rPr>
                <w:rFonts w:ascii="宋体" w:hAnsi="宋体" w:eastAsia="宋体" w:cs="宋体"/>
                <w:bCs/>
                <w:kern w:val="0"/>
                <w:szCs w:val="21"/>
              </w:rPr>
            </w:pPr>
            <w:r>
              <w:rPr>
                <w:rFonts w:hint="eastAsia" w:ascii="宋体" w:hAnsi="宋体" w:eastAsia="宋体" w:cs="宋体"/>
                <w:bCs/>
                <w:kern w:val="0"/>
                <w:szCs w:val="21"/>
              </w:rPr>
              <w:t>1</w:t>
            </w:r>
          </w:p>
        </w:tc>
        <w:tc>
          <w:tcPr>
            <w:tcW w:w="2496" w:type="pct"/>
            <w:vAlign w:val="center"/>
          </w:tcPr>
          <w:p>
            <w:pPr>
              <w:pStyle w:val="11"/>
              <w:widowControl/>
              <w:ind w:firstLine="0" w:firstLineChars="0"/>
              <w:rPr>
                <w:rFonts w:ascii="宋体" w:hAnsi="宋体" w:eastAsia="宋体" w:cs="宋体"/>
                <w:bCs/>
                <w:kern w:val="0"/>
                <w:szCs w:val="21"/>
              </w:rPr>
            </w:pPr>
            <w:r>
              <w:rPr>
                <w:rFonts w:hint="eastAsia" w:ascii="宋体" w:hAnsi="宋体" w:eastAsia="宋体" w:cs="宋体"/>
                <w:b/>
                <w:bCs/>
                <w:color w:val="000000"/>
                <w:kern w:val="0"/>
                <w:sz w:val="24"/>
              </w:rPr>
              <w:t>业务系统及数据库运维保障服务</w:t>
            </w:r>
          </w:p>
        </w:tc>
        <w:tc>
          <w:tcPr>
            <w:tcW w:w="499" w:type="pct"/>
            <w:vAlign w:val="center"/>
          </w:tcPr>
          <w:p>
            <w:pPr>
              <w:pStyle w:val="11"/>
              <w:widowControl/>
              <w:spacing w:line="360" w:lineRule="auto"/>
              <w:ind w:firstLine="0" w:firstLineChars="0"/>
              <w:jc w:val="center"/>
              <w:rPr>
                <w:rFonts w:ascii="仿宋_GB2312" w:hAnsi="宋体" w:eastAsia="仿宋_GB2312"/>
                <w:bCs/>
                <w:szCs w:val="21"/>
              </w:rPr>
            </w:pPr>
            <w:r>
              <w:rPr>
                <w:rFonts w:hint="eastAsia" w:ascii="仿宋_GB2312" w:hAnsi="宋体" w:eastAsia="仿宋_GB2312"/>
                <w:bCs/>
                <w:szCs w:val="21"/>
              </w:rPr>
              <w:t>1</w:t>
            </w:r>
          </w:p>
        </w:tc>
        <w:tc>
          <w:tcPr>
            <w:tcW w:w="499" w:type="pct"/>
            <w:vAlign w:val="center"/>
          </w:tcPr>
          <w:p>
            <w:pPr>
              <w:pStyle w:val="11"/>
              <w:widowControl/>
              <w:spacing w:line="360" w:lineRule="auto"/>
              <w:ind w:firstLine="0" w:firstLineChars="0"/>
              <w:jc w:val="center"/>
              <w:rPr>
                <w:rFonts w:ascii="仿宋_GB2312" w:hAnsi="宋体" w:eastAsia="仿宋_GB2312"/>
                <w:bCs/>
                <w:szCs w:val="21"/>
              </w:rPr>
            </w:pPr>
            <w:r>
              <w:rPr>
                <w:rFonts w:ascii="仿宋_GB2312" w:hAnsi="宋体" w:eastAsia="仿宋_GB2312"/>
                <w:bCs/>
                <w:szCs w:val="21"/>
              </w:rPr>
              <w:t>套</w:t>
            </w:r>
          </w:p>
        </w:tc>
        <w:tc>
          <w:tcPr>
            <w:tcW w:w="1025" w:type="pct"/>
            <w:vAlign w:val="center"/>
          </w:tcPr>
          <w:p>
            <w:pPr>
              <w:pStyle w:val="11"/>
              <w:widowControl/>
              <w:spacing w:line="360" w:lineRule="auto"/>
              <w:ind w:firstLine="0" w:firstLineChars="0"/>
              <w:jc w:val="center"/>
              <w:rPr>
                <w:rFonts w:ascii="仿宋_GB2312" w:hAnsi="宋体" w:eastAsia="仿宋_GB2312"/>
                <w:bCs/>
                <w:szCs w:val="21"/>
              </w:rPr>
            </w:pPr>
            <w:r>
              <w:rPr>
                <w:rFonts w:ascii="仿宋_GB2312" w:hAnsi="宋体" w:eastAsia="仿宋_GB2312"/>
                <w:bCs/>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pPr>
              <w:pStyle w:val="11"/>
              <w:widowControl/>
              <w:spacing w:line="360" w:lineRule="auto"/>
              <w:ind w:firstLine="0" w:firstLineChars="0"/>
              <w:jc w:val="center"/>
              <w:rPr>
                <w:rFonts w:ascii="宋体" w:hAnsi="宋体" w:eastAsia="宋体" w:cs="宋体"/>
                <w:bCs/>
                <w:kern w:val="0"/>
                <w:szCs w:val="21"/>
              </w:rPr>
            </w:pPr>
            <w:r>
              <w:rPr>
                <w:rFonts w:hint="eastAsia" w:ascii="宋体" w:hAnsi="宋体" w:eastAsia="宋体" w:cs="宋体"/>
                <w:bCs/>
                <w:kern w:val="0"/>
                <w:szCs w:val="21"/>
              </w:rPr>
              <w:t>2</w:t>
            </w:r>
          </w:p>
        </w:tc>
        <w:tc>
          <w:tcPr>
            <w:tcW w:w="2496" w:type="pct"/>
            <w:vAlign w:val="center"/>
          </w:tcPr>
          <w:p>
            <w:pPr>
              <w:pStyle w:val="11"/>
              <w:widowControl/>
              <w:ind w:firstLine="0" w:firstLineChars="0"/>
              <w:rPr>
                <w:rFonts w:ascii="宋体" w:hAnsi="宋体" w:eastAsia="宋体" w:cs="宋体"/>
                <w:bCs/>
                <w:kern w:val="0"/>
                <w:szCs w:val="21"/>
              </w:rPr>
            </w:pPr>
            <w:r>
              <w:rPr>
                <w:rFonts w:hint="eastAsia" w:ascii="宋体" w:hAnsi="宋体" w:eastAsia="宋体" w:cs="宋体"/>
                <w:b/>
                <w:bCs/>
                <w:color w:val="000000"/>
                <w:kern w:val="0"/>
                <w:sz w:val="24"/>
              </w:rPr>
              <w:t>业务系统功能随政策升级服务</w:t>
            </w:r>
          </w:p>
        </w:tc>
        <w:tc>
          <w:tcPr>
            <w:tcW w:w="499" w:type="pct"/>
            <w:vAlign w:val="center"/>
          </w:tcPr>
          <w:p>
            <w:pPr>
              <w:pStyle w:val="11"/>
              <w:widowControl/>
              <w:spacing w:line="360" w:lineRule="auto"/>
              <w:ind w:firstLine="0" w:firstLineChars="0"/>
              <w:jc w:val="center"/>
              <w:rPr>
                <w:rFonts w:ascii="仿宋_GB2312" w:hAnsi="宋体" w:eastAsia="仿宋_GB2312"/>
                <w:bCs/>
                <w:szCs w:val="21"/>
              </w:rPr>
            </w:pPr>
            <w:r>
              <w:rPr>
                <w:rFonts w:hint="eastAsia" w:ascii="仿宋_GB2312" w:hAnsi="宋体" w:eastAsia="仿宋_GB2312"/>
                <w:bCs/>
                <w:szCs w:val="21"/>
              </w:rPr>
              <w:t>1</w:t>
            </w:r>
          </w:p>
        </w:tc>
        <w:tc>
          <w:tcPr>
            <w:tcW w:w="499" w:type="pct"/>
            <w:vAlign w:val="center"/>
          </w:tcPr>
          <w:p>
            <w:pPr>
              <w:pStyle w:val="11"/>
              <w:widowControl/>
              <w:spacing w:line="360" w:lineRule="auto"/>
              <w:ind w:firstLine="0" w:firstLineChars="0"/>
              <w:jc w:val="center"/>
              <w:rPr>
                <w:rFonts w:ascii="仿宋_GB2312" w:hAnsi="宋体" w:eastAsia="仿宋_GB2312"/>
                <w:bCs/>
                <w:szCs w:val="21"/>
              </w:rPr>
            </w:pPr>
            <w:r>
              <w:rPr>
                <w:rFonts w:ascii="仿宋_GB2312" w:hAnsi="宋体" w:eastAsia="仿宋_GB2312"/>
                <w:bCs/>
                <w:szCs w:val="21"/>
              </w:rPr>
              <w:t>套</w:t>
            </w:r>
          </w:p>
        </w:tc>
        <w:tc>
          <w:tcPr>
            <w:tcW w:w="1025" w:type="pct"/>
            <w:vAlign w:val="center"/>
          </w:tcPr>
          <w:p>
            <w:pPr>
              <w:pStyle w:val="11"/>
              <w:widowControl/>
              <w:spacing w:line="360" w:lineRule="auto"/>
              <w:ind w:firstLine="0" w:firstLineChars="0"/>
              <w:jc w:val="center"/>
              <w:rPr>
                <w:rFonts w:ascii="仿宋_GB2312" w:hAnsi="宋体" w:eastAsia="仿宋_GB2312"/>
                <w:bCs/>
                <w:szCs w:val="21"/>
              </w:rPr>
            </w:pPr>
            <w:r>
              <w:rPr>
                <w:rFonts w:ascii="仿宋_GB2312" w:hAnsi="宋体" w:eastAsia="仿宋_GB2312"/>
                <w:bCs/>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pPr>
              <w:pStyle w:val="11"/>
              <w:widowControl/>
              <w:spacing w:line="360" w:lineRule="auto"/>
              <w:ind w:firstLine="0" w:firstLineChars="0"/>
              <w:jc w:val="center"/>
              <w:rPr>
                <w:rFonts w:ascii="宋体" w:hAnsi="宋体" w:eastAsia="宋体" w:cs="宋体"/>
                <w:bCs/>
                <w:kern w:val="0"/>
                <w:szCs w:val="21"/>
              </w:rPr>
            </w:pPr>
            <w:r>
              <w:rPr>
                <w:rFonts w:ascii="宋体" w:hAnsi="宋体" w:eastAsia="宋体" w:cs="宋体"/>
                <w:bCs/>
                <w:kern w:val="0"/>
                <w:szCs w:val="21"/>
              </w:rPr>
              <w:t>3</w:t>
            </w:r>
          </w:p>
        </w:tc>
        <w:tc>
          <w:tcPr>
            <w:tcW w:w="2496" w:type="pct"/>
            <w:vAlign w:val="center"/>
          </w:tcPr>
          <w:p>
            <w:pPr>
              <w:pStyle w:val="11"/>
              <w:widowControl/>
              <w:spacing w:line="360" w:lineRule="auto"/>
              <w:ind w:firstLine="0" w:firstLineChars="0"/>
              <w:rPr>
                <w:rFonts w:ascii="宋体" w:hAnsi="宋体" w:eastAsia="宋体" w:cs="宋体"/>
                <w:bCs/>
                <w:kern w:val="0"/>
                <w:szCs w:val="21"/>
              </w:rPr>
            </w:pPr>
            <w:r>
              <w:rPr>
                <w:rFonts w:hint="eastAsia" w:ascii="宋体" w:hAnsi="宋体" w:eastAsia="宋体" w:cs="宋体"/>
                <w:b/>
                <w:bCs/>
                <w:color w:val="000000"/>
                <w:kern w:val="0"/>
                <w:sz w:val="24"/>
              </w:rPr>
              <w:t>用户技术支持服务</w:t>
            </w:r>
          </w:p>
        </w:tc>
        <w:tc>
          <w:tcPr>
            <w:tcW w:w="499" w:type="pct"/>
            <w:vAlign w:val="center"/>
          </w:tcPr>
          <w:p>
            <w:pPr>
              <w:pStyle w:val="11"/>
              <w:widowControl/>
              <w:spacing w:line="360" w:lineRule="auto"/>
              <w:ind w:firstLine="0" w:firstLineChars="0"/>
              <w:jc w:val="center"/>
              <w:rPr>
                <w:rFonts w:ascii="仿宋_GB2312" w:hAnsi="宋体" w:eastAsia="仿宋_GB2312"/>
                <w:bCs/>
                <w:szCs w:val="21"/>
              </w:rPr>
            </w:pPr>
            <w:r>
              <w:rPr>
                <w:rFonts w:hint="eastAsia" w:ascii="仿宋_GB2312" w:hAnsi="宋体" w:eastAsia="仿宋_GB2312"/>
                <w:bCs/>
                <w:szCs w:val="21"/>
              </w:rPr>
              <w:t>1</w:t>
            </w:r>
          </w:p>
        </w:tc>
        <w:tc>
          <w:tcPr>
            <w:tcW w:w="499" w:type="pct"/>
            <w:vAlign w:val="center"/>
          </w:tcPr>
          <w:p>
            <w:pPr>
              <w:pStyle w:val="11"/>
              <w:widowControl/>
              <w:spacing w:line="360" w:lineRule="auto"/>
              <w:ind w:firstLine="0" w:firstLineChars="0"/>
              <w:jc w:val="center"/>
              <w:rPr>
                <w:rFonts w:ascii="仿宋_GB2312" w:hAnsi="宋体" w:eastAsia="仿宋_GB2312"/>
                <w:bCs/>
                <w:szCs w:val="21"/>
              </w:rPr>
            </w:pPr>
            <w:r>
              <w:rPr>
                <w:rFonts w:ascii="仿宋_GB2312" w:hAnsi="宋体" w:eastAsia="仿宋_GB2312"/>
                <w:bCs/>
                <w:szCs w:val="21"/>
              </w:rPr>
              <w:t>套</w:t>
            </w:r>
          </w:p>
        </w:tc>
        <w:tc>
          <w:tcPr>
            <w:tcW w:w="1025" w:type="pct"/>
            <w:vAlign w:val="center"/>
          </w:tcPr>
          <w:p>
            <w:pPr>
              <w:pStyle w:val="11"/>
              <w:widowControl/>
              <w:spacing w:line="360" w:lineRule="auto"/>
              <w:ind w:firstLine="0" w:firstLineChars="0"/>
              <w:jc w:val="center"/>
              <w:rPr>
                <w:rFonts w:ascii="仿宋_GB2312" w:hAnsi="宋体" w:eastAsia="仿宋_GB2312"/>
                <w:bCs/>
                <w:szCs w:val="21"/>
              </w:rPr>
            </w:pPr>
            <w:r>
              <w:rPr>
                <w:rFonts w:ascii="仿宋_GB2312" w:hAnsi="宋体" w:eastAsia="仿宋_GB2312"/>
                <w:bCs/>
                <w:szCs w:val="21"/>
              </w:rPr>
              <w:t>服务</w:t>
            </w:r>
          </w:p>
        </w:tc>
      </w:tr>
    </w:tbl>
    <w:p>
      <w:pPr>
        <w:pStyle w:val="11"/>
        <w:widowControl/>
        <w:numPr>
          <w:ilvl w:val="0"/>
          <w:numId w:val="1"/>
        </w:numPr>
        <w:spacing w:line="360" w:lineRule="auto"/>
        <w:ind w:firstLineChars="0"/>
        <w:jc w:val="left"/>
        <w:rPr>
          <w:rFonts w:ascii="黑体" w:hAnsi="黑体" w:eastAsia="黑体"/>
          <w:bCs/>
          <w:sz w:val="32"/>
          <w:szCs w:val="32"/>
        </w:rPr>
      </w:pPr>
      <w:r>
        <w:rPr>
          <w:rFonts w:hint="eastAsia" w:ascii="黑体" w:hAnsi="黑体" w:eastAsia="黑体"/>
          <w:bCs/>
          <w:sz w:val="32"/>
          <w:szCs w:val="32"/>
        </w:rPr>
        <w:t>维护范围</w:t>
      </w:r>
    </w:p>
    <w:p>
      <w:pPr>
        <w:spacing w:line="360" w:lineRule="auto"/>
        <w:rPr>
          <w:rFonts w:hint="eastAsia" w:ascii="仿宋_GB2312" w:hAnsi="宋体" w:eastAsia="仿宋_GB2312"/>
          <w:bCs/>
          <w:sz w:val="24"/>
          <w:highlight w:val="yellow"/>
        </w:rPr>
      </w:pPr>
      <w:r>
        <w:rPr>
          <w:rFonts w:hint="eastAsia" w:ascii="仿宋" w:hAnsi="仿宋" w:eastAsia="仿宋"/>
          <w:sz w:val="28"/>
          <w:szCs w:val="28"/>
        </w:rPr>
        <w:t>服务对象为全省各级卫生健康行政部门、省内所有医师、护士个人（48万余人）和全省各级各类医疗机构（4万余家）。</w:t>
      </w:r>
    </w:p>
    <w:p>
      <w:pPr>
        <w:pStyle w:val="11"/>
        <w:spacing w:line="276" w:lineRule="auto"/>
        <w:ind w:firstLineChars="0"/>
        <w:rPr>
          <w:rFonts w:hint="eastAsia" w:ascii="仿宋_GB2312" w:hAnsi="宋体" w:eastAsia="仿宋_GB2312"/>
          <w:bCs/>
          <w:sz w:val="24"/>
          <w:highlight w:val="yellow"/>
        </w:rPr>
      </w:pPr>
    </w:p>
    <w:p>
      <w:pPr>
        <w:pStyle w:val="11"/>
        <w:widowControl/>
        <w:numPr>
          <w:ilvl w:val="0"/>
          <w:numId w:val="1"/>
        </w:numPr>
        <w:spacing w:line="360" w:lineRule="auto"/>
        <w:ind w:firstLineChars="0"/>
        <w:jc w:val="left"/>
        <w:rPr>
          <w:rFonts w:ascii="黑体" w:hAnsi="黑体" w:eastAsia="黑体"/>
          <w:bCs/>
          <w:sz w:val="32"/>
          <w:szCs w:val="32"/>
        </w:rPr>
      </w:pPr>
      <w:r>
        <w:rPr>
          <w:rFonts w:hint="eastAsia" w:ascii="黑体" w:hAnsi="黑体" w:eastAsia="黑体"/>
          <w:bCs/>
          <w:sz w:val="32"/>
          <w:szCs w:val="32"/>
        </w:rPr>
        <w:t>技术、服务要求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086"/>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blHeader/>
        </w:trPr>
        <w:tc>
          <w:tcPr>
            <w:tcW w:w="395" w:type="pct"/>
            <w:shd w:val="clear" w:color="auto" w:fill="auto"/>
            <w:vAlign w:val="center"/>
          </w:tcPr>
          <w:p>
            <w:pPr>
              <w:widowControl/>
              <w:jc w:val="center"/>
              <w:rPr>
                <w:rFonts w:ascii="仿宋_GB2312" w:hAnsi="宋体" w:eastAsia="仿宋_GB2312"/>
                <w:b/>
                <w:bCs/>
                <w:szCs w:val="21"/>
              </w:rPr>
            </w:pPr>
            <w:r>
              <w:rPr>
                <w:rFonts w:hint="eastAsia" w:ascii="仿宋_GB2312" w:hAnsi="宋体" w:eastAsia="仿宋_GB2312"/>
                <w:b/>
                <w:bCs/>
                <w:szCs w:val="21"/>
              </w:rPr>
              <w:t>序号</w:t>
            </w:r>
          </w:p>
        </w:tc>
        <w:tc>
          <w:tcPr>
            <w:tcW w:w="1225" w:type="pct"/>
            <w:shd w:val="clear" w:color="auto" w:fill="auto"/>
            <w:vAlign w:val="center"/>
          </w:tcPr>
          <w:p>
            <w:pPr>
              <w:widowControl/>
              <w:jc w:val="center"/>
              <w:rPr>
                <w:rFonts w:ascii="仿宋_GB2312" w:hAnsi="宋体" w:eastAsia="仿宋_GB2312"/>
                <w:b/>
                <w:bCs/>
                <w:szCs w:val="21"/>
              </w:rPr>
            </w:pPr>
            <w:r>
              <w:rPr>
                <w:rFonts w:hint="eastAsia" w:ascii="仿宋_GB2312" w:hAnsi="宋体" w:eastAsia="仿宋_GB2312"/>
                <w:b/>
                <w:bCs/>
                <w:szCs w:val="21"/>
              </w:rPr>
              <w:t>货物（或服务）名称</w:t>
            </w:r>
          </w:p>
        </w:tc>
        <w:tc>
          <w:tcPr>
            <w:tcW w:w="3380" w:type="pct"/>
            <w:shd w:val="clear" w:color="auto" w:fill="auto"/>
            <w:vAlign w:val="center"/>
          </w:tcPr>
          <w:p>
            <w:pPr>
              <w:widowControl/>
              <w:jc w:val="center"/>
              <w:rPr>
                <w:rFonts w:ascii="仿宋_GB2312" w:hAnsi="宋体" w:eastAsia="仿宋_GB2312"/>
                <w:b/>
                <w:bCs/>
                <w:szCs w:val="21"/>
              </w:rPr>
            </w:pPr>
            <w:r>
              <w:rPr>
                <w:rFonts w:hint="eastAsia" w:ascii="仿宋_GB2312" w:hAnsi="宋体" w:eastAsia="仿宋_GB2312"/>
                <w:b/>
                <w:bCs/>
                <w:szCs w:val="21"/>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395" w:type="pct"/>
            <w:shd w:val="clear" w:color="auto" w:fill="auto"/>
            <w:vAlign w:val="center"/>
          </w:tcPr>
          <w:p>
            <w:pPr>
              <w:widowControl/>
              <w:jc w:val="center"/>
              <w:rPr>
                <w:rFonts w:ascii="仿宋_GB2312" w:hAnsi="宋体" w:eastAsia="仿宋_GB2312"/>
                <w:bCs/>
                <w:sz w:val="24"/>
              </w:rPr>
            </w:pPr>
            <w:r>
              <w:rPr>
                <w:rFonts w:hint="eastAsia" w:ascii="仿宋_GB2312" w:hAnsi="宋体" w:eastAsia="仿宋_GB2312"/>
                <w:bCs/>
                <w:sz w:val="24"/>
              </w:rPr>
              <w:t>1</w:t>
            </w:r>
          </w:p>
        </w:tc>
        <w:tc>
          <w:tcPr>
            <w:tcW w:w="1225" w:type="pct"/>
            <w:shd w:val="clear" w:color="auto" w:fill="auto"/>
            <w:vAlign w:val="center"/>
          </w:tcPr>
          <w:p>
            <w:pPr>
              <w:widowControl/>
              <w:jc w:val="left"/>
              <w:rPr>
                <w:rFonts w:ascii="仿宋_GB2312" w:hAnsi="宋体" w:eastAsia="仿宋_GB2312"/>
                <w:bCs/>
                <w:sz w:val="24"/>
              </w:rPr>
            </w:pPr>
            <w:r>
              <w:rPr>
                <w:rFonts w:hint="eastAsia" w:ascii="宋体" w:hAnsi="宋体" w:eastAsia="宋体" w:cs="宋体"/>
                <w:b/>
                <w:bCs/>
                <w:color w:val="000000"/>
                <w:kern w:val="0"/>
                <w:sz w:val="24"/>
              </w:rPr>
              <w:t>业务系统及数据库运维保障服务</w:t>
            </w:r>
          </w:p>
        </w:tc>
        <w:tc>
          <w:tcPr>
            <w:tcW w:w="3380" w:type="pct"/>
            <w:shd w:val="clear" w:color="auto" w:fill="auto"/>
          </w:tcPr>
          <w:p>
            <w:pPr>
              <w:widowControl/>
              <w:jc w:val="left"/>
              <w:rPr>
                <w:rFonts w:ascii="仿宋_GB2312" w:hAnsi="宋体" w:eastAsia="仿宋_GB2312"/>
                <w:bCs/>
                <w:sz w:val="24"/>
                <w:highlight w:val="yellow"/>
              </w:rPr>
            </w:pPr>
            <w:r>
              <w:rPr>
                <w:rFonts w:hint="eastAsia" w:ascii="仿宋" w:hAnsi="仿宋" w:eastAsia="仿宋"/>
                <w:sz w:val="28"/>
                <w:szCs w:val="28"/>
              </w:rPr>
              <w:t>为保障这些系统的正常运行，每日进行电子化注册系统及数据库运行状态监测，网络流量监测、数据库监测、用户使用情况监测、系统安全监测、系统软件运行监测和系统数据备份等，需要及时发现系统安全运行的隐患并排除系统运行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8" w:hRule="atLeast"/>
        </w:trPr>
        <w:tc>
          <w:tcPr>
            <w:tcW w:w="395" w:type="pct"/>
            <w:shd w:val="clear" w:color="auto" w:fill="auto"/>
            <w:vAlign w:val="center"/>
          </w:tcPr>
          <w:p>
            <w:pPr>
              <w:widowControl/>
              <w:jc w:val="center"/>
              <w:rPr>
                <w:rFonts w:ascii="仿宋_GB2312" w:hAnsi="宋体" w:eastAsia="仿宋_GB2312"/>
                <w:bCs/>
                <w:sz w:val="24"/>
              </w:rPr>
            </w:pPr>
            <w:r>
              <w:rPr>
                <w:rFonts w:hint="eastAsia" w:ascii="仿宋_GB2312" w:hAnsi="宋体" w:eastAsia="仿宋_GB2312"/>
                <w:bCs/>
                <w:sz w:val="24"/>
              </w:rPr>
              <w:t>2</w:t>
            </w:r>
          </w:p>
        </w:tc>
        <w:tc>
          <w:tcPr>
            <w:tcW w:w="1225" w:type="pct"/>
            <w:shd w:val="clear" w:color="auto" w:fill="auto"/>
            <w:vAlign w:val="center"/>
          </w:tcPr>
          <w:p>
            <w:pPr>
              <w:widowControl/>
              <w:jc w:val="left"/>
              <w:rPr>
                <w:rFonts w:ascii="仿宋_GB2312" w:hAnsi="宋体" w:eastAsia="仿宋_GB2312"/>
                <w:bCs/>
                <w:sz w:val="24"/>
              </w:rPr>
            </w:pPr>
            <w:r>
              <w:rPr>
                <w:rFonts w:hint="eastAsia" w:ascii="宋体" w:hAnsi="宋体" w:eastAsia="宋体" w:cs="宋体"/>
                <w:b/>
                <w:bCs/>
                <w:color w:val="000000"/>
                <w:kern w:val="0"/>
                <w:sz w:val="24"/>
              </w:rPr>
              <w:t>业务系统功能随政策升级服务</w:t>
            </w:r>
          </w:p>
        </w:tc>
        <w:tc>
          <w:tcPr>
            <w:tcW w:w="3380" w:type="pct"/>
            <w:shd w:val="clear" w:color="auto" w:fill="auto"/>
            <w:vAlign w:val="center"/>
          </w:tcPr>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随着国家政策的改变，业务系统可能随时进行必要的调整和升级改造，系统的升级改造工作需要业务管理人员和技术人员共同参与同时还需要对改造后的系统进行各种测试以确保系统的稳定运行，这些工作都需要消耗大量的时间和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0" w:hRule="atLeast"/>
        </w:trPr>
        <w:tc>
          <w:tcPr>
            <w:tcW w:w="395" w:type="pct"/>
            <w:shd w:val="clear" w:color="auto" w:fill="auto"/>
            <w:vAlign w:val="center"/>
          </w:tcPr>
          <w:p>
            <w:pPr>
              <w:widowControl/>
              <w:jc w:val="center"/>
              <w:rPr>
                <w:rFonts w:ascii="仿宋_GB2312" w:hAnsi="宋体" w:eastAsia="仿宋_GB2312"/>
                <w:bCs/>
                <w:sz w:val="24"/>
              </w:rPr>
            </w:pPr>
            <w:r>
              <w:rPr>
                <w:rFonts w:hint="eastAsia" w:ascii="仿宋_GB2312" w:hAnsi="宋体" w:eastAsia="仿宋_GB2312"/>
                <w:bCs/>
                <w:sz w:val="24"/>
              </w:rPr>
              <w:t>3</w:t>
            </w:r>
          </w:p>
        </w:tc>
        <w:tc>
          <w:tcPr>
            <w:tcW w:w="1225" w:type="pct"/>
            <w:shd w:val="clear" w:color="auto" w:fill="auto"/>
            <w:vAlign w:val="center"/>
          </w:tcPr>
          <w:p>
            <w:pPr>
              <w:widowControl/>
              <w:jc w:val="left"/>
              <w:rPr>
                <w:rFonts w:ascii="仿宋_GB2312" w:hAnsi="宋体" w:eastAsia="仿宋_GB2312"/>
                <w:bCs/>
                <w:sz w:val="24"/>
              </w:rPr>
            </w:pPr>
            <w:r>
              <w:rPr>
                <w:rFonts w:hint="eastAsia" w:ascii="宋体" w:hAnsi="宋体" w:eastAsia="宋体" w:cs="宋体"/>
                <w:b/>
                <w:bCs/>
                <w:color w:val="000000"/>
                <w:kern w:val="0"/>
                <w:sz w:val="24"/>
              </w:rPr>
              <w:t>用户技术支持服务</w:t>
            </w:r>
          </w:p>
        </w:tc>
        <w:tc>
          <w:tcPr>
            <w:tcW w:w="3380" w:type="pct"/>
            <w:shd w:val="clear" w:color="auto" w:fill="auto"/>
            <w:vAlign w:val="center"/>
          </w:tcPr>
          <w:p>
            <w:pPr>
              <w:spacing w:line="360" w:lineRule="auto"/>
              <w:ind w:firstLine="560" w:firstLineChars="200"/>
              <w:rPr>
                <w:rFonts w:ascii="仿宋" w:hAnsi="仿宋" w:eastAsia="仿宋"/>
                <w:sz w:val="28"/>
                <w:szCs w:val="28"/>
              </w:rPr>
            </w:pPr>
            <w:r>
              <w:rPr>
                <w:rFonts w:hint="eastAsia" w:ascii="仿宋" w:hAnsi="仿宋" w:eastAsia="仿宋"/>
                <w:sz w:val="28"/>
                <w:szCs w:val="28"/>
              </w:rPr>
              <w:t>（1）、服务网站：将用户培训资料、快速参考手册、用户使用手册、操作演示视频、常见问题解答等公布到网站上供用户使用。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（2）、服务电子邮箱：接受用户问题咨询邮件，并人工回复。</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（3）、微信公众号：针对移动通信的便利性，推出微信公众号服务，用户可以在微信上查看常见问题，并提供微信在线提问，并进行人工回复。</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（4）、技术支持热线电话：接听用户服务电话，回答用户问题，并指导用户操作。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（5）、省级卫生健康委现场技术支持：根据用户的情况，需要时提供现场技术支持，上门为用户解决问题。</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（6）系统上设立“我要提问”功能，用户可在系统使用过程中，进行在线提问。</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7）业务培训服务：培训内容包括10个业务系统，培训对象为卫健委业务人员和医疗机构业务人员，培训方式为集中授课，要求各使用单位派专人负责业务系统的使用，培训工作至关重要，关系到系统能否顺利使用，因此要认真组织和实施。</w:t>
            </w:r>
          </w:p>
        </w:tc>
      </w:tr>
    </w:tbl>
    <w:p>
      <w:pPr>
        <w:pStyle w:val="11"/>
        <w:widowControl/>
        <w:numPr>
          <w:ilvl w:val="0"/>
          <w:numId w:val="1"/>
        </w:numPr>
        <w:spacing w:line="360" w:lineRule="auto"/>
        <w:ind w:firstLineChars="0"/>
        <w:jc w:val="left"/>
        <w:rPr>
          <w:rFonts w:ascii="黑体" w:hAnsi="黑体" w:eastAsia="黑体"/>
          <w:bCs/>
          <w:sz w:val="32"/>
          <w:szCs w:val="32"/>
        </w:rPr>
      </w:pPr>
      <w:r>
        <w:rPr>
          <w:rFonts w:hint="eastAsia" w:ascii="黑体" w:hAnsi="黑体" w:eastAsia="黑体"/>
          <w:bCs/>
          <w:sz w:val="32"/>
          <w:szCs w:val="32"/>
        </w:rPr>
        <w:t>商务要求</w:t>
      </w:r>
    </w:p>
    <w:tbl>
      <w:tblPr>
        <w:tblStyle w:val="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7" w:type="dxa"/>
            <w:shd w:val="clear" w:color="auto" w:fill="auto"/>
            <w:vAlign w:val="center"/>
          </w:tcPr>
          <w:p>
            <w:pPr>
              <w:tabs>
                <w:tab w:val="left" w:pos="72"/>
                <w:tab w:val="left" w:pos="130"/>
              </w:tabs>
              <w:snapToGrid w:val="0"/>
              <w:spacing w:line="360" w:lineRule="auto"/>
              <w:jc w:val="center"/>
              <w:rPr>
                <w:rFonts w:asciiTheme="minorEastAsia" w:hAnsiTheme="minorEastAsia"/>
                <w:b/>
                <w:sz w:val="24"/>
              </w:rPr>
            </w:pPr>
            <w:r>
              <w:rPr>
                <w:rFonts w:hint="eastAsia" w:ascii="仿宋_GB2312" w:hAnsi="宋体" w:eastAsia="仿宋_GB2312"/>
                <w:b/>
                <w:bCs/>
                <w:sz w:val="24"/>
              </w:rPr>
              <w:t>序号</w:t>
            </w:r>
          </w:p>
        </w:tc>
        <w:tc>
          <w:tcPr>
            <w:tcW w:w="1418" w:type="dxa"/>
            <w:shd w:val="clear" w:color="auto" w:fill="auto"/>
            <w:vAlign w:val="center"/>
          </w:tcPr>
          <w:p>
            <w:pPr>
              <w:widowControl/>
              <w:jc w:val="center"/>
              <w:rPr>
                <w:rFonts w:ascii="仿宋_GB2312" w:hAnsi="宋体" w:eastAsia="仿宋_GB2312"/>
                <w:b/>
                <w:bCs/>
                <w:sz w:val="24"/>
              </w:rPr>
            </w:pPr>
            <w:r>
              <w:rPr>
                <w:rFonts w:hint="eastAsia" w:ascii="仿宋_GB2312" w:hAnsi="宋体" w:eastAsia="仿宋_GB2312"/>
                <w:b/>
                <w:bCs/>
                <w:sz w:val="24"/>
              </w:rPr>
              <w:t>商务条款</w:t>
            </w:r>
          </w:p>
        </w:tc>
        <w:tc>
          <w:tcPr>
            <w:tcW w:w="6095" w:type="dxa"/>
            <w:shd w:val="clear" w:color="auto" w:fill="auto"/>
            <w:vAlign w:val="center"/>
          </w:tcPr>
          <w:p>
            <w:pPr>
              <w:widowControl/>
              <w:jc w:val="center"/>
              <w:rPr>
                <w:rFonts w:ascii="仿宋_GB2312" w:hAnsi="宋体" w:eastAsia="仿宋_GB2312"/>
                <w:b/>
                <w:bCs/>
                <w:sz w:val="24"/>
              </w:rPr>
            </w:pPr>
            <w:r>
              <w:rPr>
                <w:rFonts w:hint="eastAsia" w:ascii="仿宋_GB2312" w:hAnsi="宋体" w:eastAsia="仿宋_GB2312"/>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17" w:type="dxa"/>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工期要求</w:t>
            </w:r>
          </w:p>
        </w:tc>
        <w:tc>
          <w:tcPr>
            <w:tcW w:w="6095"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合同签订后一年内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实施地点</w:t>
            </w:r>
          </w:p>
        </w:tc>
        <w:tc>
          <w:tcPr>
            <w:tcW w:w="6095"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vMerge w:val="restart"/>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val="restart"/>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报价要求</w:t>
            </w:r>
          </w:p>
        </w:tc>
        <w:tc>
          <w:tcPr>
            <w:tcW w:w="6095"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1、投标人的报价应包含为完成本招标文件提出的货物或服务等全部相关工作所有可能发生的费用，即投标总报价为“交钥匙”价。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vMerge w:val="continue"/>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val="continue"/>
            <w:shd w:val="clear" w:color="auto" w:fill="auto"/>
            <w:vAlign w:val="center"/>
          </w:tcPr>
          <w:p>
            <w:pPr>
              <w:widowControl/>
              <w:jc w:val="left"/>
              <w:rPr>
                <w:rFonts w:ascii="仿宋_GB2312" w:hAnsi="宋体" w:eastAsia="仿宋_GB2312"/>
                <w:bCs/>
                <w:sz w:val="24"/>
              </w:rPr>
            </w:pPr>
          </w:p>
        </w:tc>
        <w:tc>
          <w:tcPr>
            <w:tcW w:w="6095"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2、对本文件未列明，而投标人认为必需的费用也需列入投标总报价。在合同实施时，采购人将不予支付中标单位没有列入的项目费用，并认为此项目的费用已包含在投标总报价中。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vMerge w:val="continue"/>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val="continue"/>
            <w:shd w:val="clear" w:color="auto" w:fill="auto"/>
            <w:vAlign w:val="center"/>
          </w:tcPr>
          <w:p>
            <w:pPr>
              <w:widowControl/>
              <w:jc w:val="left"/>
              <w:rPr>
                <w:rFonts w:ascii="仿宋_GB2312" w:hAnsi="宋体" w:eastAsia="仿宋_GB2312"/>
                <w:bCs/>
                <w:sz w:val="24"/>
              </w:rPr>
            </w:pPr>
          </w:p>
        </w:tc>
        <w:tc>
          <w:tcPr>
            <w:tcW w:w="6095"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3、投标人所投货物应报总价和项目各子系统的分项报价等，投标人应提供所投货物全部的详细清单及其价格。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售后服务和技术支持</w:t>
            </w:r>
          </w:p>
        </w:tc>
        <w:tc>
          <w:tcPr>
            <w:tcW w:w="6095"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提供5×8电话、网络即时通讯软件或电子邮件服务，接到用户问题通知后做出明确响应和安排，提供远程或现场维护服务。一般系统故障应在2小时内响应并解决，远程服务无法解决的，需具有解决故障能力的工程师应在12小时内到达现场，并在4小时内解决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培训</w:t>
            </w:r>
          </w:p>
        </w:tc>
        <w:tc>
          <w:tcPr>
            <w:tcW w:w="6095" w:type="dxa"/>
            <w:shd w:val="clear" w:color="auto" w:fill="auto"/>
            <w:vAlign w:val="center"/>
          </w:tcPr>
          <w:p>
            <w:pPr>
              <w:widowControl/>
              <w:jc w:val="left"/>
              <w:rPr>
                <w:rFonts w:ascii="仿宋_GB2312" w:hAnsi="宋体" w:eastAsia="仿宋_GB2312"/>
                <w:bCs/>
                <w:sz w:val="24"/>
                <w:lang w:val="zh-CN"/>
              </w:rPr>
            </w:pPr>
            <w:r>
              <w:rPr>
                <w:rFonts w:hint="eastAsia" w:ascii="仿宋_GB2312" w:hAnsi="宋体" w:eastAsia="仿宋_GB2312"/>
                <w:bCs/>
                <w:sz w:val="24"/>
                <w:lang w:val="zh-CN"/>
              </w:rPr>
              <w:t>按照采购人要求提供培训服务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pPr>
              <w:widowControl/>
              <w:jc w:val="left"/>
              <w:rPr>
                <w:rFonts w:ascii="仿宋_GB2312" w:hAnsi="宋体" w:eastAsia="仿宋_GB2312"/>
                <w:bCs/>
                <w:sz w:val="24"/>
                <w:lang w:val="zh-CN"/>
              </w:rPr>
            </w:pPr>
            <w:r>
              <w:rPr>
                <w:rFonts w:hint="eastAsia" w:ascii="仿宋_GB2312" w:hAnsi="宋体" w:eastAsia="仿宋_GB2312"/>
                <w:bCs/>
                <w:sz w:val="24"/>
                <w:lang w:val="zh-CN"/>
              </w:rPr>
              <w:t>付款方式</w:t>
            </w:r>
          </w:p>
        </w:tc>
        <w:tc>
          <w:tcPr>
            <w:tcW w:w="6095" w:type="dxa"/>
            <w:shd w:val="clear" w:color="auto" w:fill="auto"/>
            <w:vAlign w:val="center"/>
          </w:tcPr>
          <w:p>
            <w:pPr>
              <w:widowControl/>
              <w:jc w:val="left"/>
              <w:rPr>
                <w:rFonts w:ascii="仿宋_GB2312" w:hAnsi="宋体" w:eastAsia="仿宋_GB2312"/>
                <w:bCs/>
                <w:sz w:val="24"/>
                <w:lang w:val="zh-CN"/>
              </w:rPr>
            </w:pPr>
            <w:r>
              <w:rPr>
                <w:rFonts w:hint="eastAsia" w:ascii="仿宋_GB2312" w:hAnsi="宋体" w:eastAsia="仿宋_GB2312"/>
                <w:bCs/>
                <w:sz w:val="24"/>
                <w:lang w:val="zh-CN"/>
              </w:rPr>
              <w:t>按照湖北省财政厅相关要求执行。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pPr>
              <w:widowControl/>
              <w:jc w:val="left"/>
              <w:rPr>
                <w:rFonts w:ascii="仿宋_GB2312" w:hAnsi="宋体" w:eastAsia="仿宋_GB2312"/>
                <w:bCs/>
                <w:sz w:val="24"/>
                <w:lang w:val="zh-CN"/>
              </w:rPr>
            </w:pPr>
            <w:r>
              <w:rPr>
                <w:rFonts w:hint="eastAsia" w:ascii="仿宋_GB2312" w:hAnsi="宋体" w:eastAsia="仿宋_GB2312"/>
                <w:bCs/>
                <w:sz w:val="24"/>
                <w:lang w:val="zh-CN"/>
              </w:rPr>
              <w:t>保密</w:t>
            </w:r>
          </w:p>
        </w:tc>
        <w:tc>
          <w:tcPr>
            <w:tcW w:w="6095" w:type="dxa"/>
            <w:shd w:val="clear" w:color="auto" w:fill="auto"/>
            <w:vAlign w:val="center"/>
          </w:tcPr>
          <w:p>
            <w:pPr>
              <w:widowControl/>
              <w:jc w:val="left"/>
              <w:rPr>
                <w:rFonts w:ascii="仿宋_GB2312" w:hAnsi="宋体" w:eastAsia="仿宋_GB2312"/>
                <w:bCs/>
                <w:sz w:val="24"/>
                <w:lang w:val="zh-CN"/>
              </w:rPr>
            </w:pPr>
            <w:r>
              <w:rPr>
                <w:rFonts w:hint="eastAsia" w:ascii="仿宋_GB2312" w:hAnsi="宋体" w:eastAsia="仿宋_GB2312"/>
                <w:bCs/>
                <w:sz w:val="24"/>
                <w:lang w:val="zh-CN"/>
              </w:rPr>
              <w:t>未经采购人书面许可，中标人及其工作人员不得擅自对相关数据和信息进行复制、备份或留底。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7" w:type="dxa"/>
            <w:shd w:val="clear" w:color="auto" w:fill="auto"/>
            <w:vAlign w:val="center"/>
          </w:tcPr>
          <w:p>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rPr>
              <w:t>技术文档</w:t>
            </w:r>
          </w:p>
        </w:tc>
        <w:tc>
          <w:tcPr>
            <w:tcW w:w="6095" w:type="dxa"/>
            <w:shd w:val="clear" w:color="auto" w:fill="auto"/>
            <w:vAlign w:val="center"/>
          </w:tcPr>
          <w:p>
            <w:pPr>
              <w:widowControl/>
              <w:jc w:val="left"/>
              <w:rPr>
                <w:rFonts w:ascii="仿宋_GB2312" w:hAnsi="宋体" w:eastAsia="仿宋_GB2312"/>
                <w:bCs/>
                <w:sz w:val="24"/>
              </w:rPr>
            </w:pPr>
            <w:r>
              <w:rPr>
                <w:rFonts w:hint="eastAsia" w:ascii="仿宋_GB2312" w:hAnsi="宋体" w:eastAsia="仿宋_GB2312"/>
                <w:bCs/>
                <w:sz w:val="24"/>
                <w:lang w:val="zh-CN"/>
              </w:rPr>
              <w:t>中标人在系统验收后提供年度运维报告。</w:t>
            </w:r>
          </w:p>
        </w:tc>
      </w:tr>
    </w:tbl>
    <w:p>
      <w:pPr>
        <w:rPr>
          <w:rFonts w:ascii="仿宋_GB2312" w:eastAsia="仿宋_GB2312"/>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43A6A"/>
    <w:multiLevelType w:val="multilevel"/>
    <w:tmpl w:val="0E643A6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EA7C99"/>
    <w:multiLevelType w:val="multilevel"/>
    <w:tmpl w:val="2EEA7C99"/>
    <w:lvl w:ilvl="0" w:tentative="0">
      <w:start w:val="1"/>
      <w:numFmt w:val="decimal"/>
      <w:lvlText w:val="%1"/>
      <w:lvlJc w:val="center"/>
      <w:pPr>
        <w:ind w:left="420"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NzdiMDg4Yjc3ZGQ4NGYxNzJmYmUxMjZkNTQyMjEifQ=="/>
    <w:docVar w:name="KSO_WPS_MARK_KEY" w:val="5bab44c3-de32-4ba3-8d62-bf3b4ac34058"/>
  </w:docVars>
  <w:rsids>
    <w:rsidRoot w:val="00783ED7"/>
    <w:rsid w:val="00005B13"/>
    <w:rsid w:val="0003424C"/>
    <w:rsid w:val="00055B03"/>
    <w:rsid w:val="00073EB8"/>
    <w:rsid w:val="000B3E1C"/>
    <w:rsid w:val="000D32EB"/>
    <w:rsid w:val="0010501F"/>
    <w:rsid w:val="00144ECE"/>
    <w:rsid w:val="00147F56"/>
    <w:rsid w:val="00157EFB"/>
    <w:rsid w:val="00171F80"/>
    <w:rsid w:val="00195279"/>
    <w:rsid w:val="001B09E4"/>
    <w:rsid w:val="001B5EEE"/>
    <w:rsid w:val="001B77A9"/>
    <w:rsid w:val="001C603B"/>
    <w:rsid w:val="001E3FDF"/>
    <w:rsid w:val="001F3CAD"/>
    <w:rsid w:val="00211A3E"/>
    <w:rsid w:val="002528DC"/>
    <w:rsid w:val="002752C6"/>
    <w:rsid w:val="002A2011"/>
    <w:rsid w:val="002B30B0"/>
    <w:rsid w:val="0030138C"/>
    <w:rsid w:val="00325F06"/>
    <w:rsid w:val="00331875"/>
    <w:rsid w:val="00355FC0"/>
    <w:rsid w:val="00364FCB"/>
    <w:rsid w:val="003A4D80"/>
    <w:rsid w:val="003B5A7A"/>
    <w:rsid w:val="003C6D27"/>
    <w:rsid w:val="00440533"/>
    <w:rsid w:val="0045381F"/>
    <w:rsid w:val="004B17AD"/>
    <w:rsid w:val="00501C24"/>
    <w:rsid w:val="00511E0C"/>
    <w:rsid w:val="0055499F"/>
    <w:rsid w:val="005722BD"/>
    <w:rsid w:val="00593A1D"/>
    <w:rsid w:val="005A2466"/>
    <w:rsid w:val="005B4558"/>
    <w:rsid w:val="005C00F1"/>
    <w:rsid w:val="005D08C0"/>
    <w:rsid w:val="00625882"/>
    <w:rsid w:val="006714AC"/>
    <w:rsid w:val="00682C75"/>
    <w:rsid w:val="006923DD"/>
    <w:rsid w:val="006A7F0A"/>
    <w:rsid w:val="006B2AAF"/>
    <w:rsid w:val="006C2A68"/>
    <w:rsid w:val="006D3E2C"/>
    <w:rsid w:val="006D7C72"/>
    <w:rsid w:val="006F6691"/>
    <w:rsid w:val="00717A12"/>
    <w:rsid w:val="00724171"/>
    <w:rsid w:val="00756CB0"/>
    <w:rsid w:val="00762148"/>
    <w:rsid w:val="007674C8"/>
    <w:rsid w:val="00783ED7"/>
    <w:rsid w:val="00790191"/>
    <w:rsid w:val="007A2D85"/>
    <w:rsid w:val="007A4919"/>
    <w:rsid w:val="007B5BFE"/>
    <w:rsid w:val="007E7EE1"/>
    <w:rsid w:val="00815546"/>
    <w:rsid w:val="0084718C"/>
    <w:rsid w:val="00851DE8"/>
    <w:rsid w:val="008B65DB"/>
    <w:rsid w:val="008C1A40"/>
    <w:rsid w:val="008C41F5"/>
    <w:rsid w:val="00904514"/>
    <w:rsid w:val="0091065B"/>
    <w:rsid w:val="00912C40"/>
    <w:rsid w:val="009371C9"/>
    <w:rsid w:val="00943EC6"/>
    <w:rsid w:val="0097120C"/>
    <w:rsid w:val="00986787"/>
    <w:rsid w:val="009A286E"/>
    <w:rsid w:val="009A6743"/>
    <w:rsid w:val="009B1CB7"/>
    <w:rsid w:val="009C3E55"/>
    <w:rsid w:val="009F1127"/>
    <w:rsid w:val="00A327B7"/>
    <w:rsid w:val="00A9061F"/>
    <w:rsid w:val="00A94C3D"/>
    <w:rsid w:val="00AC50B9"/>
    <w:rsid w:val="00B30DFA"/>
    <w:rsid w:val="00B72B1B"/>
    <w:rsid w:val="00BE4607"/>
    <w:rsid w:val="00BE4DB4"/>
    <w:rsid w:val="00C02B93"/>
    <w:rsid w:val="00C160DC"/>
    <w:rsid w:val="00C22DD6"/>
    <w:rsid w:val="00C42593"/>
    <w:rsid w:val="00C67DE6"/>
    <w:rsid w:val="00C76565"/>
    <w:rsid w:val="00C8691A"/>
    <w:rsid w:val="00CD62D0"/>
    <w:rsid w:val="00D5086B"/>
    <w:rsid w:val="00D61D55"/>
    <w:rsid w:val="00D645D3"/>
    <w:rsid w:val="00D86C4A"/>
    <w:rsid w:val="00E30ACC"/>
    <w:rsid w:val="00E822E2"/>
    <w:rsid w:val="00EB7999"/>
    <w:rsid w:val="00EC3F6B"/>
    <w:rsid w:val="00F137F4"/>
    <w:rsid w:val="00F146EF"/>
    <w:rsid w:val="00F221B8"/>
    <w:rsid w:val="00F3757A"/>
    <w:rsid w:val="00F43E5F"/>
    <w:rsid w:val="00F6633D"/>
    <w:rsid w:val="00FB1E40"/>
    <w:rsid w:val="114C3FF6"/>
    <w:rsid w:val="13813941"/>
    <w:rsid w:val="17B759A7"/>
    <w:rsid w:val="31D76933"/>
    <w:rsid w:val="4D6278C5"/>
    <w:rsid w:val="557C2AAA"/>
    <w:rsid w:val="614005B2"/>
    <w:rsid w:val="709F0EE6"/>
    <w:rsid w:val="7128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9"/>
    <w:rPr>
      <w:rFonts w:asciiTheme="minorHAnsi" w:hAnsiTheme="minorHAnsi" w:eastAsiaTheme="minorEastAsia" w:cstheme="minorBidi"/>
      <w:b/>
      <w:bCs/>
      <w:kern w:val="44"/>
      <w:sz w:val="44"/>
      <w:szCs w:val="44"/>
    </w:rPr>
  </w:style>
  <w:style w:type="character" w:customStyle="1" w:styleId="15">
    <w:name w:val="标题 3 字符"/>
    <w:basedOn w:val="9"/>
    <w:link w:val="3"/>
    <w:qFormat/>
    <w:uiPriority w:val="0"/>
    <w:rPr>
      <w:rFonts w:ascii="Calibri" w:hAnsi="Calibri"/>
      <w:b/>
      <w:bCs/>
      <w:kern w:val="2"/>
      <w:sz w:val="32"/>
      <w:szCs w:val="32"/>
    </w:r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0FE8-1334-41D0-8BF9-97080A7048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1625</Words>
  <Characters>1646</Characters>
  <Lines>12</Lines>
  <Paragraphs>3</Paragraphs>
  <TotalTime>285</TotalTime>
  <ScaleCrop>false</ScaleCrop>
  <LinksUpToDate>false</LinksUpToDate>
  <CharactersWithSpaces>1652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2021-05-17T04:23:00Z</dcterms:created>
  <dc:creator>sky sod</dc:creator>
  <cp:lastModifiedBy>德芬郡奶油</cp:lastModifiedBy>
  <cp:lastPrinted>2024-04-07T10:03:00Z</cp:lastPrinted>
  <dcterms:modified xsi:type="dcterms:W3CDTF">2024-09-11T09:38:00Z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498B45CEF7EE4AF4B026B69509CDB90E_13</vt:lpwstr>
  </property>
</Properties>
</file>