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jc w:val="center"/>
        <w:rPr>
          <w:rFonts w:ascii="方正小标宋_GBK" w:eastAsia="方正小标宋_GBK" w:cs="宋体"/>
          <w:bCs/>
          <w:color w:val="000000"/>
          <w:sz w:val="44"/>
          <w:szCs w:val="44"/>
        </w:rPr>
      </w:pPr>
      <w:r>
        <w:rPr>
          <w:rFonts w:hint="eastAsia" w:ascii="方正小标宋_GBK" w:hAnsi="宋体" w:eastAsia="方正小标宋_GBK" w:cs="宋体"/>
          <w:bCs/>
          <w:color w:val="000000"/>
          <w:sz w:val="44"/>
          <w:szCs w:val="44"/>
        </w:rPr>
        <w:t>互联网光纤专线链路和专网视频会议链路租用</w:t>
      </w:r>
      <w:r>
        <w:rPr>
          <w:rFonts w:hint="eastAsia" w:ascii="方正小标宋_GBK" w:eastAsia="方正小标宋_GBK" w:cs="宋体"/>
          <w:bCs/>
          <w:color w:val="000000"/>
          <w:sz w:val="44"/>
          <w:szCs w:val="44"/>
        </w:rPr>
        <w:t>维护服务项目采购需求文件</w:t>
      </w:r>
    </w:p>
    <w:p/>
    <w:p>
      <w:pPr>
        <w:ind w:firstLine="560" w:firstLineChars="200"/>
        <w:rPr>
          <w:rFonts w:ascii="仿宋_GB2312" w:eastAsia="仿宋_GB2312"/>
          <w:sz w:val="28"/>
          <w:szCs w:val="28"/>
        </w:rPr>
      </w:pPr>
      <w:r>
        <w:rPr>
          <w:rFonts w:ascii="仿宋_GB2312" w:eastAsia="仿宋_GB2312"/>
          <w:sz w:val="28"/>
          <w:szCs w:val="28"/>
        </w:rPr>
        <w:t>依据</w:t>
      </w:r>
      <w:r>
        <w:rPr>
          <w:rFonts w:hint="default" w:ascii="Times New Roman" w:hAnsi="Times New Roman" w:eastAsia="Times New Roman"/>
          <w:color w:val="4D5156"/>
          <w:sz w:val="28"/>
          <w:szCs w:val="28"/>
        </w:rPr>
        <w:t>4</w:t>
      </w:r>
      <w:r>
        <w:rPr>
          <w:rFonts w:hint="default" w:ascii="Times New Roman" w:hAnsi="Times New Roman" w:eastAsia="Times New Roman"/>
          <w:color w:val="232428"/>
          <w:sz w:val="28"/>
          <w:szCs w:val="28"/>
        </w:rPr>
        <w:t>20000</w:t>
      </w:r>
      <w:r>
        <w:rPr>
          <w:rFonts w:hint="default" w:ascii="Times New Roman" w:hAnsi="Times New Roman" w:eastAsia="Times New Roman"/>
          <w:color w:val="767A7F"/>
          <w:sz w:val="28"/>
          <w:szCs w:val="28"/>
        </w:rPr>
        <w:t xml:space="preserve">- </w:t>
      </w:r>
      <w:r>
        <w:rPr>
          <w:rFonts w:hint="default" w:ascii="Times New Roman" w:hAnsi="Times New Roman" w:eastAsia="Times New Roman"/>
          <w:color w:val="383A3F"/>
          <w:sz w:val="28"/>
          <w:szCs w:val="28"/>
        </w:rPr>
        <w:t xml:space="preserve">2023 </w:t>
      </w:r>
      <w:r>
        <w:rPr>
          <w:rFonts w:hint="default" w:ascii="Times New Roman" w:hAnsi="Times New Roman" w:eastAsia="Times New Roman"/>
          <w:color w:val="8F9499"/>
          <w:sz w:val="28"/>
          <w:szCs w:val="28"/>
        </w:rPr>
        <w:t xml:space="preserve">- </w:t>
      </w:r>
      <w:r>
        <w:rPr>
          <w:rFonts w:hint="default" w:ascii="Times New Roman" w:hAnsi="Times New Roman" w:eastAsia="Times New Roman"/>
          <w:color w:val="232428"/>
          <w:sz w:val="28"/>
          <w:szCs w:val="28"/>
        </w:rPr>
        <w:t>10</w:t>
      </w:r>
      <w:r>
        <w:rPr>
          <w:rFonts w:hint="default" w:ascii="Times New Roman" w:hAnsi="Times New Roman" w:eastAsia="Times New Roman"/>
          <w:color w:val="4D5156"/>
          <w:sz w:val="28"/>
          <w:szCs w:val="28"/>
        </w:rPr>
        <w:t>3</w:t>
      </w:r>
      <w:r>
        <w:rPr>
          <w:rFonts w:hint="default" w:ascii="Times New Roman" w:hAnsi="Times New Roman" w:eastAsia="Times New Roman"/>
          <w:color w:val="020203"/>
          <w:sz w:val="28"/>
          <w:szCs w:val="28"/>
        </w:rPr>
        <w:t>1</w:t>
      </w:r>
      <w:r>
        <w:rPr>
          <w:rFonts w:hint="default" w:ascii="Times New Roman" w:hAnsi="Times New Roman" w:eastAsia="Times New Roman"/>
          <w:color w:val="232428"/>
          <w:sz w:val="28"/>
          <w:szCs w:val="28"/>
        </w:rPr>
        <w:t>0</w:t>
      </w:r>
      <w:r>
        <w:rPr>
          <w:rFonts w:hint="eastAsia" w:ascii="仿宋_GB2312" w:eastAsia="仿宋_GB2312"/>
          <w:sz w:val="28"/>
          <w:szCs w:val="28"/>
        </w:rPr>
        <w:t>要求，现委托湖北省公共资源交易中心（湖北省政府采购中心）就“</w:t>
      </w:r>
      <w:r>
        <w:rPr>
          <w:rFonts w:hint="eastAsia" w:ascii="仿宋_GB2312" w:eastAsia="仿宋_GB2312"/>
          <w:bCs/>
          <w:sz w:val="28"/>
          <w:szCs w:val="28"/>
        </w:rPr>
        <w:t>互联网光纤专线链路和专网视频会议链路租用维护服务项目</w:t>
      </w:r>
      <w:r>
        <w:rPr>
          <w:rFonts w:hint="eastAsia" w:ascii="仿宋_GB2312" w:eastAsia="仿宋_GB2312"/>
          <w:sz w:val="28"/>
          <w:szCs w:val="28"/>
        </w:rPr>
        <w:t>”进行协议采购（网上商城）。</w:t>
      </w:r>
    </w:p>
    <w:p>
      <w:pPr>
        <w:ind w:firstLine="560" w:firstLineChars="200"/>
        <w:rPr>
          <w:rFonts w:ascii="仿宋_GB2312" w:eastAsia="仿宋_GB2312"/>
          <w:sz w:val="28"/>
          <w:szCs w:val="28"/>
        </w:rPr>
      </w:pPr>
      <w:r>
        <w:rPr>
          <w:rFonts w:ascii="仿宋_GB2312" w:eastAsia="仿宋_GB2312"/>
          <w:sz w:val="28"/>
          <w:szCs w:val="28"/>
        </w:rPr>
        <w:t>本</w:t>
      </w:r>
      <w:r>
        <w:rPr>
          <w:rFonts w:hint="eastAsia" w:ascii="仿宋_GB2312" w:eastAsia="仿宋_GB2312"/>
          <w:sz w:val="28"/>
          <w:szCs w:val="28"/>
        </w:rPr>
        <w:t>项目</w:t>
      </w:r>
      <w:r>
        <w:rPr>
          <w:rFonts w:ascii="仿宋_GB2312" w:eastAsia="仿宋_GB2312"/>
          <w:sz w:val="28"/>
          <w:szCs w:val="28"/>
        </w:rPr>
        <w:t>采购</w:t>
      </w:r>
      <w:r>
        <w:rPr>
          <w:rFonts w:hint="eastAsia" w:ascii="仿宋_GB2312" w:eastAsia="仿宋_GB2312"/>
          <w:sz w:val="28"/>
          <w:szCs w:val="28"/>
        </w:rPr>
        <w:t>预算：人民币10万元；最高限价：人民币10万元。</w:t>
      </w:r>
    </w:p>
    <w:p>
      <w:pPr>
        <w:jc w:val="center"/>
        <w:rPr>
          <w:rFonts w:ascii="仿宋_GB2312" w:eastAsia="仿宋_GB2312"/>
          <w:sz w:val="32"/>
          <w:szCs w:val="32"/>
        </w:rPr>
      </w:pPr>
      <w:bookmarkStart w:id="0" w:name="_Toc68185544"/>
      <w:bookmarkStart w:id="1" w:name="_Toc1458930"/>
      <w:bookmarkStart w:id="2" w:name="_Toc3974930"/>
      <w:r>
        <w:rPr>
          <w:rFonts w:hint="eastAsia" w:ascii="仿宋_GB2312" w:eastAsia="仿宋_GB2312"/>
          <w:sz w:val="32"/>
          <w:szCs w:val="32"/>
        </w:rPr>
        <w:t>第一部分  供应商资格要求</w:t>
      </w:r>
      <w:bookmarkEnd w:id="0"/>
      <w:bookmarkEnd w:id="1"/>
      <w:bookmarkEnd w:id="2"/>
    </w:p>
    <w:p>
      <w:pPr>
        <w:ind w:firstLine="560" w:firstLineChars="200"/>
        <w:rPr>
          <w:rFonts w:ascii="仿宋_GB2312" w:eastAsia="仿宋_GB2312"/>
          <w:sz w:val="28"/>
          <w:szCs w:val="28"/>
        </w:rPr>
      </w:pPr>
      <w:r>
        <w:rPr>
          <w:rFonts w:hint="eastAsia" w:ascii="仿宋_GB2312" w:eastAsia="仿宋_GB2312"/>
          <w:sz w:val="28"/>
          <w:szCs w:val="28"/>
        </w:rPr>
        <w:t>1、满足《中华人民共和国政府采购法》第二十二条规定，即：</w:t>
      </w:r>
    </w:p>
    <w:p>
      <w:pPr>
        <w:ind w:firstLine="560" w:firstLineChars="200"/>
        <w:rPr>
          <w:rFonts w:ascii="仿宋_GB2312" w:eastAsia="仿宋_GB2312"/>
          <w:sz w:val="28"/>
          <w:szCs w:val="28"/>
        </w:rPr>
      </w:pPr>
      <w:r>
        <w:rPr>
          <w:rFonts w:hint="eastAsia" w:ascii="仿宋_GB2312" w:eastAsia="仿宋_GB2312"/>
          <w:sz w:val="28"/>
          <w:szCs w:val="28"/>
        </w:rPr>
        <w:t>（1）具有独立承担民事责任的能力</w:t>
      </w:r>
      <w:bookmarkStart w:id="3" w:name="_GoBack"/>
      <w:bookmarkEnd w:id="3"/>
      <w:r>
        <w:rPr>
          <w:rFonts w:hint="eastAsia" w:ascii="仿宋_GB2312" w:eastAsia="仿宋_GB2312"/>
          <w:sz w:val="28"/>
          <w:szCs w:val="28"/>
        </w:rPr>
        <w:t>；</w:t>
      </w:r>
    </w:p>
    <w:p>
      <w:pPr>
        <w:ind w:firstLine="560" w:firstLineChars="200"/>
        <w:rPr>
          <w:rFonts w:ascii="仿宋_GB2312" w:eastAsia="仿宋_GB2312"/>
          <w:sz w:val="28"/>
          <w:szCs w:val="28"/>
        </w:rPr>
      </w:pPr>
      <w:r>
        <w:rPr>
          <w:rFonts w:hint="eastAsia" w:ascii="仿宋_GB2312" w:eastAsia="仿宋_GB2312"/>
          <w:sz w:val="28"/>
          <w:szCs w:val="28"/>
        </w:rPr>
        <w:t>（2）具有良好的商业信誉和健全的财务会计制度；</w:t>
      </w:r>
    </w:p>
    <w:p>
      <w:pPr>
        <w:ind w:firstLine="560" w:firstLineChars="200"/>
        <w:rPr>
          <w:rFonts w:ascii="仿宋_GB2312" w:eastAsia="仿宋_GB2312"/>
          <w:sz w:val="28"/>
          <w:szCs w:val="28"/>
        </w:rPr>
      </w:pPr>
      <w:r>
        <w:rPr>
          <w:rFonts w:hint="eastAsia" w:ascii="仿宋_GB2312" w:eastAsia="仿宋_GB2312"/>
          <w:sz w:val="28"/>
          <w:szCs w:val="28"/>
        </w:rPr>
        <w:t>（3）具有履行合同所必需的设备和专业技术能力；</w:t>
      </w:r>
    </w:p>
    <w:p>
      <w:pPr>
        <w:ind w:firstLine="560" w:firstLineChars="200"/>
        <w:rPr>
          <w:rFonts w:ascii="仿宋_GB2312" w:eastAsia="仿宋_GB2312"/>
          <w:sz w:val="28"/>
          <w:szCs w:val="28"/>
        </w:rPr>
      </w:pPr>
      <w:r>
        <w:rPr>
          <w:rFonts w:hint="eastAsia" w:ascii="仿宋_GB2312" w:eastAsia="仿宋_GB2312"/>
          <w:sz w:val="28"/>
          <w:szCs w:val="28"/>
        </w:rPr>
        <w:t>（4）有依法缴纳税收和社会保障资金的良好记录；</w:t>
      </w:r>
    </w:p>
    <w:p>
      <w:pPr>
        <w:ind w:firstLine="560" w:firstLineChars="200"/>
        <w:rPr>
          <w:rFonts w:ascii="仿宋_GB2312" w:eastAsia="仿宋_GB2312"/>
          <w:sz w:val="28"/>
          <w:szCs w:val="28"/>
        </w:rPr>
      </w:pPr>
      <w:r>
        <w:rPr>
          <w:rFonts w:hint="eastAsia" w:ascii="仿宋_GB2312" w:eastAsia="仿宋_GB2312"/>
          <w:sz w:val="28"/>
          <w:szCs w:val="28"/>
        </w:rPr>
        <w:t>（5）参加政府采购活动前三年内，在经营活动中没有重大违法记录；</w:t>
      </w:r>
    </w:p>
    <w:p>
      <w:pPr>
        <w:ind w:firstLine="560" w:firstLineChars="200"/>
        <w:rPr>
          <w:rFonts w:ascii="仿宋_GB2312" w:eastAsia="仿宋_GB2312"/>
          <w:sz w:val="28"/>
          <w:szCs w:val="28"/>
        </w:rPr>
      </w:pPr>
      <w:r>
        <w:rPr>
          <w:rFonts w:hint="eastAsia" w:ascii="仿宋_GB2312" w:eastAsia="仿宋_GB2312"/>
          <w:sz w:val="28"/>
          <w:szCs w:val="28"/>
        </w:rPr>
        <w:t>（6）法律、行政法规规定的其他条件。</w:t>
      </w:r>
    </w:p>
    <w:p>
      <w:pPr>
        <w:ind w:firstLine="560" w:firstLineChars="200"/>
        <w:rPr>
          <w:rFonts w:ascii="仿宋_GB2312" w:eastAsia="仿宋_GB2312"/>
          <w:sz w:val="28"/>
          <w:szCs w:val="28"/>
        </w:rPr>
      </w:pPr>
      <w:r>
        <w:rPr>
          <w:rFonts w:hint="eastAsia" w:ascii="仿宋_GB2312" w:eastAsia="仿宋_GB2312"/>
          <w:sz w:val="28"/>
          <w:szCs w:val="28"/>
        </w:rPr>
        <w:t>2、单位负责人为同一人或者存在直接控股、管理关系的不同投标人，不得参加本项目同一合同项下的政府采购活动；</w:t>
      </w:r>
    </w:p>
    <w:p>
      <w:pPr>
        <w:ind w:firstLine="560" w:firstLineChars="200"/>
        <w:rPr>
          <w:rFonts w:ascii="仿宋_GB2312" w:eastAsia="仿宋_GB2312"/>
          <w:sz w:val="28"/>
          <w:szCs w:val="28"/>
        </w:rPr>
      </w:pPr>
      <w:r>
        <w:rPr>
          <w:rFonts w:hint="eastAsia" w:ascii="仿宋_GB2312" w:eastAsia="仿宋_GB2312"/>
          <w:sz w:val="28"/>
          <w:szCs w:val="28"/>
        </w:rPr>
        <w:t>3、为本采购项目提供整体设计、规范编制或者项目管理、监理、检测等服务的，不得再参加本项目的其他招标采购活动；</w:t>
      </w:r>
    </w:p>
    <w:p>
      <w:pPr>
        <w:ind w:firstLine="560" w:firstLineChars="200"/>
        <w:rPr>
          <w:rFonts w:ascii="仿宋_GB2312" w:eastAsia="仿宋_GB2312"/>
          <w:sz w:val="28"/>
          <w:szCs w:val="28"/>
        </w:rPr>
      </w:pPr>
      <w:r>
        <w:rPr>
          <w:rFonts w:hint="eastAsia" w:ascii="仿宋_GB2312" w:eastAsia="仿宋_GB2312"/>
          <w:sz w:val="28"/>
          <w:szCs w:val="28"/>
        </w:rPr>
        <w:t>4、应未被列入失信被执行人、重大税收违法案件当事人名单，未被列入政府采购严重违法失信行为记录名单；</w:t>
      </w:r>
    </w:p>
    <w:p>
      <w:pPr>
        <w:ind w:firstLine="560" w:firstLineChars="200"/>
        <w:rPr>
          <w:rFonts w:ascii="仿宋_GB2312" w:eastAsia="仿宋_GB2312"/>
          <w:sz w:val="28"/>
          <w:szCs w:val="28"/>
        </w:rPr>
      </w:pPr>
      <w:r>
        <w:rPr>
          <w:rFonts w:ascii="仿宋_GB2312" w:eastAsia="仿宋_GB2312"/>
          <w:sz w:val="28"/>
          <w:szCs w:val="28"/>
        </w:rPr>
        <w:t>5</w:t>
      </w:r>
      <w:r>
        <w:rPr>
          <w:rFonts w:hint="eastAsia" w:ascii="仿宋_GB2312" w:eastAsia="仿宋_GB2312"/>
          <w:sz w:val="28"/>
          <w:szCs w:val="28"/>
        </w:rPr>
        <w:t>、本项目的特定资格要求：</w:t>
      </w:r>
    </w:p>
    <w:p>
      <w:pPr>
        <w:ind w:firstLine="560" w:firstLineChars="200"/>
        <w:rPr>
          <w:rFonts w:ascii="仿宋_GB2312" w:eastAsia="仿宋_GB2312"/>
          <w:sz w:val="28"/>
          <w:szCs w:val="28"/>
        </w:rPr>
      </w:pPr>
      <w:r>
        <w:rPr>
          <w:rFonts w:hint="eastAsia" w:ascii="仿宋_GB2312" w:eastAsia="仿宋_GB2312"/>
          <w:sz w:val="28"/>
          <w:szCs w:val="28"/>
        </w:rPr>
        <w:t>（1）不接受联合体投标；</w:t>
      </w:r>
    </w:p>
    <w:p>
      <w:pPr>
        <w:ind w:firstLine="560" w:firstLineChars="200"/>
        <w:rPr>
          <w:rFonts w:ascii="仿宋_GB2312" w:eastAsia="仿宋_GB2312"/>
          <w:sz w:val="28"/>
          <w:szCs w:val="28"/>
        </w:rPr>
      </w:pPr>
      <w:r>
        <w:rPr>
          <w:rFonts w:hint="eastAsia" w:ascii="仿宋_GB2312" w:eastAsia="仿宋_GB2312"/>
          <w:sz w:val="28"/>
          <w:szCs w:val="28"/>
        </w:rPr>
        <w:t>（2）不允许中标后分包；</w:t>
      </w:r>
    </w:p>
    <w:p>
      <w:pPr>
        <w:jc w:val="center"/>
        <w:rPr>
          <w:rFonts w:ascii="仿宋_GB2312" w:eastAsia="仿宋_GB2312"/>
          <w:sz w:val="32"/>
          <w:szCs w:val="32"/>
        </w:rPr>
      </w:pPr>
      <w:r>
        <w:rPr>
          <w:rFonts w:hint="eastAsia" w:ascii="仿宋_GB2312" w:eastAsia="仿宋_GB2312"/>
          <w:sz w:val="32"/>
          <w:szCs w:val="32"/>
        </w:rPr>
        <w:t>第二部分目技术、服务及商务要求</w:t>
      </w:r>
    </w:p>
    <w:p>
      <w:pPr>
        <w:pStyle w:val="10"/>
        <w:widowControl/>
        <w:numPr>
          <w:ilvl w:val="0"/>
          <w:numId w:val="1"/>
        </w:numPr>
        <w:spacing w:line="360" w:lineRule="auto"/>
        <w:ind w:firstLineChars="0"/>
        <w:jc w:val="left"/>
        <w:rPr>
          <w:rFonts w:ascii="黑体" w:hAnsi="黑体" w:eastAsia="黑体"/>
          <w:bCs/>
          <w:sz w:val="32"/>
          <w:szCs w:val="32"/>
        </w:rPr>
      </w:pPr>
      <w:r>
        <w:rPr>
          <w:rFonts w:hint="eastAsia" w:ascii="黑体" w:hAnsi="黑体" w:eastAsia="黑体"/>
          <w:bCs/>
          <w:sz w:val="32"/>
          <w:szCs w:val="32"/>
        </w:rPr>
        <w:t>采购清单</w:t>
      </w:r>
    </w:p>
    <w:tbl>
      <w:tblPr>
        <w:tblStyle w:val="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0"/>
        <w:gridCol w:w="5780"/>
        <w:gridCol w:w="823"/>
        <w:gridCol w:w="10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9" w:type="pct"/>
            <w:shd w:val="clear" w:color="auto" w:fill="auto"/>
            <w:vAlign w:val="center"/>
          </w:tcPr>
          <w:p>
            <w:pPr>
              <w:widowControl/>
              <w:snapToGrid w:val="0"/>
              <w:jc w:val="center"/>
              <w:rPr>
                <w:rFonts w:cs="宋体"/>
                <w:b/>
                <w:bCs/>
                <w:color w:val="000000"/>
                <w:kern w:val="0"/>
                <w:szCs w:val="21"/>
              </w:rPr>
            </w:pPr>
            <w:r>
              <w:rPr>
                <w:rFonts w:hint="eastAsia" w:cs="宋体"/>
                <w:b/>
                <w:bCs/>
                <w:color w:val="000000"/>
                <w:kern w:val="0"/>
                <w:szCs w:val="21"/>
              </w:rPr>
              <w:t>序号</w:t>
            </w:r>
          </w:p>
        </w:tc>
        <w:tc>
          <w:tcPr>
            <w:tcW w:w="3391" w:type="pct"/>
            <w:shd w:val="clear" w:color="auto" w:fill="auto"/>
            <w:vAlign w:val="center"/>
          </w:tcPr>
          <w:p>
            <w:pPr>
              <w:widowControl/>
              <w:snapToGrid w:val="0"/>
              <w:jc w:val="center"/>
              <w:rPr>
                <w:rFonts w:cs="宋体"/>
                <w:b/>
                <w:bCs/>
                <w:color w:val="000000"/>
                <w:kern w:val="0"/>
                <w:szCs w:val="21"/>
              </w:rPr>
            </w:pPr>
            <w:r>
              <w:rPr>
                <w:rFonts w:hint="eastAsia" w:cs="宋体"/>
                <w:b/>
                <w:bCs/>
                <w:color w:val="000000"/>
                <w:kern w:val="0"/>
                <w:szCs w:val="21"/>
              </w:rPr>
              <w:t>名称</w:t>
            </w:r>
          </w:p>
        </w:tc>
        <w:tc>
          <w:tcPr>
            <w:tcW w:w="483" w:type="pct"/>
            <w:shd w:val="clear" w:color="auto" w:fill="auto"/>
            <w:vAlign w:val="center"/>
          </w:tcPr>
          <w:p>
            <w:pPr>
              <w:widowControl/>
              <w:snapToGrid w:val="0"/>
              <w:jc w:val="center"/>
              <w:rPr>
                <w:rFonts w:cs="宋体"/>
                <w:b/>
                <w:bCs/>
                <w:color w:val="000000"/>
                <w:kern w:val="0"/>
                <w:szCs w:val="21"/>
              </w:rPr>
            </w:pPr>
            <w:r>
              <w:rPr>
                <w:rFonts w:hint="eastAsia" w:cs="宋体"/>
                <w:b/>
                <w:bCs/>
                <w:color w:val="000000"/>
                <w:kern w:val="0"/>
                <w:szCs w:val="21"/>
              </w:rPr>
              <w:t>数量</w:t>
            </w:r>
          </w:p>
        </w:tc>
        <w:tc>
          <w:tcPr>
            <w:tcW w:w="627" w:type="pct"/>
            <w:shd w:val="clear" w:color="auto" w:fill="auto"/>
            <w:vAlign w:val="center"/>
          </w:tcPr>
          <w:p>
            <w:pPr>
              <w:widowControl/>
              <w:snapToGrid w:val="0"/>
              <w:jc w:val="center"/>
              <w:rPr>
                <w:rFonts w:cs="宋体"/>
                <w:b/>
                <w:bCs/>
                <w:color w:val="000000"/>
                <w:kern w:val="0"/>
                <w:szCs w:val="21"/>
              </w:rPr>
            </w:pPr>
            <w:r>
              <w:rPr>
                <w:rFonts w:hint="eastAsia" w:cs="宋体"/>
                <w:b/>
                <w:bCs/>
                <w:color w:val="000000"/>
                <w:kern w:val="0"/>
                <w:szCs w:val="21"/>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9" w:type="pct"/>
            <w:shd w:val="clear" w:color="auto" w:fill="auto"/>
            <w:vAlign w:val="center"/>
          </w:tcPr>
          <w:p>
            <w:pPr>
              <w:pStyle w:val="10"/>
              <w:widowControl/>
              <w:spacing w:line="360" w:lineRule="auto"/>
              <w:ind w:firstLine="0" w:firstLineChars="0"/>
              <w:jc w:val="center"/>
              <w:rPr>
                <w:rFonts w:ascii="仿宋_GB2312" w:hAnsi="宋体" w:eastAsia="仿宋_GB2312"/>
                <w:bCs/>
                <w:szCs w:val="21"/>
              </w:rPr>
            </w:pPr>
            <w:r>
              <w:rPr>
                <w:rFonts w:hint="eastAsia" w:ascii="仿宋_GB2312" w:hAnsi="宋体" w:eastAsia="仿宋_GB2312"/>
                <w:bCs/>
                <w:szCs w:val="21"/>
              </w:rPr>
              <w:t>1</w:t>
            </w:r>
          </w:p>
        </w:tc>
        <w:tc>
          <w:tcPr>
            <w:tcW w:w="3391" w:type="pct"/>
            <w:shd w:val="clear" w:color="auto" w:fill="auto"/>
            <w:vAlign w:val="center"/>
          </w:tcPr>
          <w:p>
            <w:pPr>
              <w:pStyle w:val="10"/>
              <w:widowControl/>
              <w:spacing w:line="360" w:lineRule="auto"/>
              <w:ind w:firstLine="0" w:firstLineChars="0"/>
              <w:rPr>
                <w:rFonts w:ascii="仿宋_GB2312" w:hAnsi="宋体" w:eastAsia="仿宋_GB2312"/>
                <w:bCs/>
                <w:szCs w:val="21"/>
                <w:lang w:eastAsia="zh-Hans"/>
              </w:rPr>
            </w:pPr>
            <w:r>
              <w:rPr>
                <w:rFonts w:hint="eastAsia" w:ascii="仿宋_GB2312" w:hAnsi="宋体" w:eastAsia="仿宋_GB2312"/>
                <w:bCs/>
                <w:szCs w:val="21"/>
                <w:lang w:eastAsia="zh-Hans"/>
              </w:rPr>
              <w:t>租用80M的互联网光纤</w:t>
            </w:r>
          </w:p>
        </w:tc>
        <w:tc>
          <w:tcPr>
            <w:tcW w:w="483" w:type="pct"/>
            <w:shd w:val="clear" w:color="auto" w:fill="auto"/>
            <w:vAlign w:val="center"/>
          </w:tcPr>
          <w:p>
            <w:pPr>
              <w:pStyle w:val="10"/>
              <w:widowControl/>
              <w:spacing w:line="360" w:lineRule="auto"/>
              <w:ind w:firstLine="0" w:firstLineChars="0"/>
              <w:jc w:val="center"/>
              <w:rPr>
                <w:rFonts w:ascii="仿宋_GB2312" w:hAnsi="宋体" w:eastAsia="仿宋_GB2312"/>
                <w:bCs/>
                <w:szCs w:val="21"/>
              </w:rPr>
            </w:pPr>
            <w:r>
              <w:rPr>
                <w:rFonts w:hint="eastAsia" w:ascii="仿宋_GB2312" w:hAnsi="宋体" w:eastAsia="仿宋_GB2312"/>
                <w:bCs/>
                <w:szCs w:val="21"/>
              </w:rPr>
              <w:t>1</w:t>
            </w:r>
          </w:p>
        </w:tc>
        <w:tc>
          <w:tcPr>
            <w:tcW w:w="627" w:type="pct"/>
            <w:shd w:val="clear" w:color="auto" w:fill="auto"/>
            <w:vAlign w:val="center"/>
          </w:tcPr>
          <w:p>
            <w:pPr>
              <w:jc w:val="center"/>
              <w:rPr>
                <w:rFonts w:ascii="仿宋_GB2312" w:hAnsi="宋体" w:eastAsia="仿宋_GB2312"/>
                <w:bCs/>
                <w:szCs w:val="21"/>
              </w:rPr>
            </w:pPr>
            <w:r>
              <w:rPr>
                <w:rFonts w:hint="eastAsia" w:ascii="仿宋_GB2312" w:hAnsi="宋体" w:eastAsia="仿宋_GB2312"/>
                <w:bCs/>
                <w:szCs w:val="21"/>
              </w:rPr>
              <w:t>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9" w:type="pct"/>
            <w:shd w:val="clear" w:color="auto" w:fill="auto"/>
            <w:vAlign w:val="center"/>
          </w:tcPr>
          <w:p>
            <w:pPr>
              <w:pStyle w:val="10"/>
              <w:widowControl/>
              <w:spacing w:line="360" w:lineRule="auto"/>
              <w:ind w:firstLine="0" w:firstLineChars="0"/>
              <w:jc w:val="center"/>
              <w:rPr>
                <w:rFonts w:ascii="仿宋_GB2312" w:hAnsi="宋体" w:eastAsia="仿宋_GB2312"/>
                <w:bCs/>
                <w:szCs w:val="21"/>
              </w:rPr>
            </w:pPr>
            <w:r>
              <w:rPr>
                <w:rFonts w:hint="eastAsia" w:ascii="仿宋_GB2312" w:hAnsi="宋体" w:eastAsia="仿宋_GB2312"/>
                <w:bCs/>
                <w:szCs w:val="21"/>
              </w:rPr>
              <w:t>2</w:t>
            </w:r>
          </w:p>
        </w:tc>
        <w:tc>
          <w:tcPr>
            <w:tcW w:w="3391" w:type="pct"/>
            <w:shd w:val="clear" w:color="auto" w:fill="auto"/>
            <w:vAlign w:val="center"/>
          </w:tcPr>
          <w:p>
            <w:pPr>
              <w:pStyle w:val="10"/>
              <w:widowControl/>
              <w:spacing w:line="360" w:lineRule="auto"/>
              <w:ind w:firstLine="0" w:firstLineChars="0"/>
              <w:rPr>
                <w:rFonts w:ascii="仿宋_GB2312" w:hAnsi="宋体" w:eastAsia="仿宋_GB2312"/>
                <w:bCs/>
                <w:szCs w:val="21"/>
                <w:lang w:eastAsia="zh-Hans"/>
              </w:rPr>
            </w:pPr>
            <w:r>
              <w:rPr>
                <w:rFonts w:hint="eastAsia" w:ascii="仿宋_GB2312" w:hAnsi="宋体" w:eastAsia="仿宋_GB2312"/>
                <w:bCs/>
                <w:szCs w:val="21"/>
                <w:lang w:eastAsia="zh-Hans"/>
              </w:rPr>
              <w:t>租用2M的SDH光纤专线链路</w:t>
            </w:r>
          </w:p>
        </w:tc>
        <w:tc>
          <w:tcPr>
            <w:tcW w:w="483" w:type="pct"/>
            <w:shd w:val="clear" w:color="auto" w:fill="auto"/>
            <w:vAlign w:val="center"/>
          </w:tcPr>
          <w:p>
            <w:pPr>
              <w:pStyle w:val="10"/>
              <w:widowControl/>
              <w:spacing w:line="360" w:lineRule="auto"/>
              <w:ind w:firstLine="0" w:firstLineChars="0"/>
              <w:jc w:val="center"/>
              <w:rPr>
                <w:rFonts w:ascii="仿宋_GB2312" w:hAnsi="宋体" w:eastAsia="仿宋_GB2312"/>
                <w:bCs/>
                <w:szCs w:val="21"/>
              </w:rPr>
            </w:pPr>
            <w:r>
              <w:rPr>
                <w:rFonts w:hint="eastAsia" w:ascii="仿宋_GB2312" w:hAnsi="宋体" w:eastAsia="仿宋_GB2312"/>
                <w:bCs/>
                <w:szCs w:val="21"/>
              </w:rPr>
              <w:t>1</w:t>
            </w:r>
          </w:p>
        </w:tc>
        <w:tc>
          <w:tcPr>
            <w:tcW w:w="627" w:type="pct"/>
            <w:shd w:val="clear" w:color="auto" w:fill="auto"/>
            <w:vAlign w:val="center"/>
          </w:tcPr>
          <w:p>
            <w:pPr>
              <w:jc w:val="center"/>
              <w:rPr>
                <w:rFonts w:ascii="仿宋_GB2312" w:hAnsi="宋体" w:eastAsia="仿宋_GB2312"/>
                <w:bCs/>
                <w:szCs w:val="21"/>
              </w:rPr>
            </w:pPr>
            <w:r>
              <w:rPr>
                <w:rFonts w:hint="eastAsia" w:ascii="仿宋_GB2312" w:hAnsi="宋体" w:eastAsia="仿宋_GB2312"/>
                <w:bCs/>
                <w:szCs w:val="21"/>
              </w:rPr>
              <w:t>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9" w:type="pct"/>
            <w:shd w:val="clear" w:color="auto" w:fill="auto"/>
            <w:vAlign w:val="center"/>
          </w:tcPr>
          <w:p>
            <w:pPr>
              <w:pStyle w:val="10"/>
              <w:widowControl/>
              <w:spacing w:line="360" w:lineRule="auto"/>
              <w:ind w:firstLine="0" w:firstLineChars="0"/>
              <w:jc w:val="center"/>
              <w:rPr>
                <w:rFonts w:ascii="仿宋_GB2312" w:hAnsi="宋体" w:eastAsia="仿宋_GB2312"/>
                <w:bCs/>
                <w:szCs w:val="21"/>
              </w:rPr>
            </w:pPr>
            <w:r>
              <w:rPr>
                <w:rFonts w:hint="eastAsia" w:ascii="仿宋_GB2312" w:hAnsi="宋体" w:eastAsia="仿宋_GB2312"/>
                <w:bCs/>
                <w:szCs w:val="21"/>
              </w:rPr>
              <w:t>3</w:t>
            </w:r>
          </w:p>
        </w:tc>
        <w:tc>
          <w:tcPr>
            <w:tcW w:w="3391" w:type="pct"/>
            <w:shd w:val="clear" w:color="auto" w:fill="auto"/>
            <w:vAlign w:val="center"/>
          </w:tcPr>
          <w:p>
            <w:pPr>
              <w:pStyle w:val="10"/>
              <w:widowControl/>
              <w:spacing w:line="360" w:lineRule="auto"/>
              <w:ind w:firstLine="0" w:firstLineChars="0"/>
              <w:rPr>
                <w:rFonts w:ascii="仿宋_GB2312" w:hAnsi="宋体" w:eastAsia="仿宋_GB2312"/>
                <w:bCs/>
                <w:szCs w:val="21"/>
                <w:lang w:eastAsia="zh-Hans"/>
              </w:rPr>
            </w:pPr>
            <w:r>
              <w:rPr>
                <w:rFonts w:hint="eastAsia" w:ascii="仿宋_GB2312" w:hAnsi="宋体" w:eastAsia="仿宋_GB2312"/>
                <w:bCs/>
                <w:szCs w:val="21"/>
              </w:rPr>
              <w:t>基础网络接入设备</w:t>
            </w:r>
          </w:p>
        </w:tc>
        <w:tc>
          <w:tcPr>
            <w:tcW w:w="483" w:type="pct"/>
            <w:shd w:val="clear" w:color="auto" w:fill="auto"/>
            <w:vAlign w:val="center"/>
          </w:tcPr>
          <w:p>
            <w:pPr>
              <w:pStyle w:val="10"/>
              <w:widowControl/>
              <w:spacing w:line="360" w:lineRule="auto"/>
              <w:ind w:firstLine="0" w:firstLineChars="0"/>
              <w:jc w:val="center"/>
              <w:rPr>
                <w:rFonts w:ascii="仿宋_GB2312" w:hAnsi="宋体" w:eastAsia="仿宋_GB2312"/>
                <w:bCs/>
                <w:szCs w:val="21"/>
              </w:rPr>
            </w:pPr>
            <w:r>
              <w:rPr>
                <w:rFonts w:hint="eastAsia" w:ascii="仿宋_GB2312" w:hAnsi="宋体" w:eastAsia="仿宋_GB2312"/>
                <w:bCs/>
                <w:szCs w:val="21"/>
              </w:rPr>
              <w:t>1</w:t>
            </w:r>
          </w:p>
        </w:tc>
        <w:tc>
          <w:tcPr>
            <w:tcW w:w="627" w:type="pct"/>
            <w:shd w:val="clear" w:color="auto" w:fill="auto"/>
            <w:vAlign w:val="center"/>
          </w:tcPr>
          <w:p>
            <w:pPr>
              <w:jc w:val="center"/>
            </w:pPr>
            <w:r>
              <w:rPr>
                <w:rFonts w:hint="eastAsia" w:ascii="仿宋_GB2312" w:hAnsi="宋体" w:eastAsia="仿宋_GB2312"/>
                <w:bCs/>
                <w:szCs w:val="21"/>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9" w:type="pct"/>
            <w:shd w:val="clear" w:color="auto" w:fill="auto"/>
            <w:vAlign w:val="center"/>
          </w:tcPr>
          <w:p>
            <w:pPr>
              <w:pStyle w:val="10"/>
              <w:widowControl/>
              <w:spacing w:line="360" w:lineRule="auto"/>
              <w:ind w:firstLine="0" w:firstLineChars="0"/>
              <w:jc w:val="center"/>
              <w:rPr>
                <w:rFonts w:ascii="仿宋_GB2312" w:hAnsi="宋体" w:eastAsia="仿宋_GB2312"/>
                <w:bCs/>
                <w:szCs w:val="21"/>
              </w:rPr>
            </w:pPr>
            <w:r>
              <w:rPr>
                <w:rFonts w:hint="eastAsia" w:ascii="仿宋_GB2312" w:hAnsi="宋体" w:eastAsia="仿宋_GB2312"/>
                <w:bCs/>
                <w:szCs w:val="21"/>
              </w:rPr>
              <w:t>4</w:t>
            </w:r>
          </w:p>
        </w:tc>
        <w:tc>
          <w:tcPr>
            <w:tcW w:w="3391" w:type="pct"/>
            <w:shd w:val="clear" w:color="auto" w:fill="auto"/>
            <w:vAlign w:val="center"/>
          </w:tcPr>
          <w:p>
            <w:pPr>
              <w:pStyle w:val="10"/>
              <w:widowControl/>
              <w:spacing w:line="360" w:lineRule="auto"/>
              <w:ind w:firstLine="0" w:firstLineChars="0"/>
              <w:rPr>
                <w:rFonts w:ascii="仿宋_GB2312" w:hAnsi="宋体" w:eastAsia="仿宋_GB2312"/>
                <w:bCs/>
                <w:szCs w:val="21"/>
              </w:rPr>
            </w:pPr>
            <w:r>
              <w:rPr>
                <w:rFonts w:hint="eastAsia" w:ascii="仿宋_GB2312" w:hAnsi="宋体" w:eastAsia="仿宋_GB2312"/>
                <w:bCs/>
                <w:szCs w:val="21"/>
              </w:rPr>
              <w:t>提供流量清洗服务</w:t>
            </w:r>
          </w:p>
        </w:tc>
        <w:tc>
          <w:tcPr>
            <w:tcW w:w="483" w:type="pct"/>
            <w:shd w:val="clear" w:color="auto" w:fill="auto"/>
            <w:vAlign w:val="center"/>
          </w:tcPr>
          <w:p>
            <w:pPr>
              <w:pStyle w:val="10"/>
              <w:widowControl/>
              <w:spacing w:line="360" w:lineRule="auto"/>
              <w:ind w:firstLine="0" w:firstLineChars="0"/>
              <w:jc w:val="center"/>
              <w:rPr>
                <w:rFonts w:ascii="仿宋_GB2312" w:hAnsi="宋体" w:eastAsia="仿宋_GB2312"/>
                <w:bCs/>
                <w:szCs w:val="21"/>
              </w:rPr>
            </w:pPr>
            <w:r>
              <w:rPr>
                <w:rFonts w:hint="eastAsia" w:ascii="仿宋_GB2312" w:hAnsi="宋体" w:eastAsia="仿宋_GB2312"/>
                <w:bCs/>
                <w:szCs w:val="21"/>
              </w:rPr>
              <w:t>1</w:t>
            </w:r>
          </w:p>
        </w:tc>
        <w:tc>
          <w:tcPr>
            <w:tcW w:w="627" w:type="pct"/>
            <w:shd w:val="clear" w:color="auto" w:fill="auto"/>
            <w:vAlign w:val="center"/>
          </w:tcPr>
          <w:p>
            <w:pPr>
              <w:pStyle w:val="10"/>
              <w:widowControl/>
              <w:spacing w:line="360" w:lineRule="auto"/>
              <w:ind w:firstLine="0" w:firstLineChars="0"/>
              <w:jc w:val="center"/>
              <w:rPr>
                <w:rFonts w:ascii="仿宋_GB2312" w:hAnsi="宋体" w:eastAsia="仿宋_GB2312"/>
                <w:bCs/>
                <w:szCs w:val="21"/>
              </w:rPr>
            </w:pPr>
            <w:r>
              <w:rPr>
                <w:rFonts w:hint="eastAsia" w:ascii="仿宋_GB2312" w:hAnsi="宋体" w:eastAsia="仿宋_GB2312"/>
                <w:bCs/>
                <w:szCs w:val="21"/>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9" w:type="pct"/>
            <w:shd w:val="clear" w:color="auto" w:fill="auto"/>
            <w:vAlign w:val="center"/>
          </w:tcPr>
          <w:p>
            <w:pPr>
              <w:pStyle w:val="10"/>
              <w:widowControl/>
              <w:spacing w:line="360" w:lineRule="auto"/>
              <w:ind w:firstLine="0" w:firstLineChars="0"/>
              <w:jc w:val="center"/>
              <w:rPr>
                <w:rFonts w:ascii="仿宋_GB2312" w:hAnsi="宋体" w:eastAsia="仿宋_GB2312"/>
                <w:bCs/>
                <w:szCs w:val="21"/>
              </w:rPr>
            </w:pPr>
            <w:r>
              <w:rPr>
                <w:rFonts w:hint="eastAsia" w:ascii="仿宋_GB2312" w:hAnsi="宋体" w:eastAsia="仿宋_GB2312"/>
                <w:bCs/>
                <w:szCs w:val="21"/>
              </w:rPr>
              <w:t>5</w:t>
            </w:r>
          </w:p>
        </w:tc>
        <w:tc>
          <w:tcPr>
            <w:tcW w:w="3391" w:type="pct"/>
            <w:shd w:val="clear" w:color="auto" w:fill="auto"/>
            <w:vAlign w:val="center"/>
          </w:tcPr>
          <w:p>
            <w:pPr>
              <w:pStyle w:val="10"/>
              <w:widowControl/>
              <w:spacing w:line="360" w:lineRule="auto"/>
              <w:ind w:firstLine="0" w:firstLineChars="0"/>
              <w:rPr>
                <w:rFonts w:ascii="仿宋_GB2312" w:hAnsi="宋体" w:eastAsia="仿宋_GB2312"/>
                <w:bCs/>
                <w:szCs w:val="21"/>
              </w:rPr>
            </w:pPr>
            <w:r>
              <w:rPr>
                <w:rFonts w:hint="eastAsia" w:ascii="仿宋_GB2312" w:hAnsi="宋体" w:eastAsia="仿宋_GB2312"/>
                <w:bCs/>
                <w:szCs w:val="21"/>
              </w:rPr>
              <w:t>运维</w:t>
            </w:r>
            <w:r>
              <w:rPr>
                <w:rFonts w:hint="eastAsia" w:ascii="仿宋_GB2312" w:eastAsia="仿宋_GB2312"/>
                <w:bCs/>
                <w:szCs w:val="21"/>
              </w:rPr>
              <w:t>保障</w:t>
            </w:r>
            <w:r>
              <w:rPr>
                <w:rFonts w:hint="eastAsia" w:ascii="仿宋_GB2312" w:hAnsi="宋体" w:eastAsia="仿宋_GB2312"/>
                <w:bCs/>
                <w:szCs w:val="21"/>
              </w:rPr>
              <w:t>服务</w:t>
            </w:r>
          </w:p>
        </w:tc>
        <w:tc>
          <w:tcPr>
            <w:tcW w:w="483" w:type="pct"/>
            <w:shd w:val="clear" w:color="auto" w:fill="auto"/>
            <w:vAlign w:val="center"/>
          </w:tcPr>
          <w:p>
            <w:pPr>
              <w:pStyle w:val="10"/>
              <w:widowControl/>
              <w:spacing w:line="360" w:lineRule="auto"/>
              <w:ind w:firstLine="0" w:firstLineChars="0"/>
              <w:jc w:val="center"/>
              <w:rPr>
                <w:rFonts w:ascii="仿宋_GB2312" w:hAnsi="宋体" w:eastAsia="仿宋_GB2312"/>
                <w:bCs/>
                <w:szCs w:val="21"/>
              </w:rPr>
            </w:pPr>
            <w:r>
              <w:rPr>
                <w:rFonts w:hint="eastAsia" w:ascii="仿宋_GB2312" w:hAnsi="宋体" w:eastAsia="仿宋_GB2312"/>
                <w:bCs/>
                <w:szCs w:val="21"/>
              </w:rPr>
              <w:t>1</w:t>
            </w:r>
          </w:p>
        </w:tc>
        <w:tc>
          <w:tcPr>
            <w:tcW w:w="627" w:type="pct"/>
            <w:shd w:val="clear" w:color="auto" w:fill="auto"/>
            <w:vAlign w:val="center"/>
          </w:tcPr>
          <w:p>
            <w:pPr>
              <w:pStyle w:val="10"/>
              <w:widowControl/>
              <w:spacing w:line="360" w:lineRule="auto"/>
              <w:ind w:firstLine="0" w:firstLineChars="0"/>
              <w:jc w:val="center"/>
              <w:rPr>
                <w:rFonts w:ascii="仿宋_GB2312" w:hAnsi="宋体" w:eastAsia="仿宋_GB2312"/>
                <w:bCs/>
                <w:szCs w:val="21"/>
              </w:rPr>
            </w:pPr>
            <w:r>
              <w:rPr>
                <w:rFonts w:hint="eastAsia" w:ascii="仿宋_GB2312" w:hAnsi="宋体" w:eastAsia="仿宋_GB2312"/>
                <w:bCs/>
                <w:szCs w:val="21"/>
              </w:rPr>
              <w:t>项</w:t>
            </w:r>
          </w:p>
        </w:tc>
      </w:tr>
    </w:tbl>
    <w:p>
      <w:pPr>
        <w:pStyle w:val="10"/>
        <w:widowControl/>
        <w:numPr>
          <w:ilvl w:val="0"/>
          <w:numId w:val="1"/>
        </w:numPr>
        <w:spacing w:line="360" w:lineRule="auto"/>
        <w:ind w:firstLineChars="0"/>
        <w:jc w:val="left"/>
        <w:rPr>
          <w:rFonts w:ascii="黑体" w:hAnsi="黑体" w:eastAsia="黑体"/>
          <w:bCs/>
          <w:sz w:val="32"/>
          <w:szCs w:val="32"/>
        </w:rPr>
      </w:pPr>
      <w:r>
        <w:rPr>
          <w:rFonts w:hint="eastAsia" w:ascii="黑体" w:hAnsi="黑体" w:eastAsia="黑体"/>
          <w:bCs/>
          <w:sz w:val="32"/>
          <w:szCs w:val="32"/>
        </w:rPr>
        <w:t>技术、服务要求</w:t>
      </w:r>
    </w:p>
    <w:tbl>
      <w:tblPr>
        <w:tblStyle w:val="5"/>
        <w:tblW w:w="5000" w:type="pct"/>
        <w:tblInd w:w="0" w:type="dxa"/>
        <w:tblLayout w:type="autofit"/>
        <w:tblCellMar>
          <w:top w:w="0" w:type="dxa"/>
          <w:left w:w="108" w:type="dxa"/>
          <w:bottom w:w="0" w:type="dxa"/>
          <w:right w:w="108" w:type="dxa"/>
        </w:tblCellMar>
      </w:tblPr>
      <w:tblGrid>
        <w:gridCol w:w="675"/>
        <w:gridCol w:w="2446"/>
        <w:gridCol w:w="5401"/>
      </w:tblGrid>
      <w:tr>
        <w:tblPrEx>
          <w:tblCellMar>
            <w:top w:w="0" w:type="dxa"/>
            <w:left w:w="108" w:type="dxa"/>
            <w:bottom w:w="0" w:type="dxa"/>
            <w:right w:w="108" w:type="dxa"/>
          </w:tblCellMar>
        </w:tblPrEx>
        <w:trPr>
          <w:trHeight w:val="288" w:hRule="atLeast"/>
          <w:tblHeader/>
        </w:trPr>
        <w:tc>
          <w:tcPr>
            <w:tcW w:w="396"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_GB2312" w:eastAsia="仿宋_GB2312"/>
                <w:b/>
                <w:bCs/>
                <w:szCs w:val="21"/>
              </w:rPr>
            </w:pPr>
            <w:r>
              <w:rPr>
                <w:rFonts w:hint="eastAsia" w:ascii="仿宋_GB2312" w:eastAsia="仿宋_GB2312"/>
                <w:b/>
                <w:bCs/>
                <w:szCs w:val="21"/>
              </w:rPr>
              <w:t>序号</w:t>
            </w:r>
          </w:p>
        </w:tc>
        <w:tc>
          <w:tcPr>
            <w:tcW w:w="1435"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仿宋_GB2312" w:eastAsia="仿宋_GB2312"/>
                <w:b/>
                <w:bCs/>
                <w:szCs w:val="21"/>
              </w:rPr>
            </w:pPr>
            <w:r>
              <w:rPr>
                <w:rFonts w:hint="eastAsia" w:ascii="仿宋_GB2312" w:eastAsia="仿宋_GB2312"/>
                <w:b/>
                <w:bCs/>
                <w:szCs w:val="21"/>
              </w:rPr>
              <w:t>货物（或服务）名称</w:t>
            </w:r>
          </w:p>
        </w:tc>
        <w:tc>
          <w:tcPr>
            <w:tcW w:w="3169"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仿宋_GB2312" w:eastAsia="仿宋_GB2312"/>
                <w:b/>
                <w:bCs/>
                <w:szCs w:val="21"/>
              </w:rPr>
            </w:pPr>
            <w:r>
              <w:rPr>
                <w:rFonts w:hint="eastAsia" w:ascii="仿宋_GB2312" w:eastAsia="仿宋_GB2312"/>
                <w:b/>
                <w:bCs/>
                <w:szCs w:val="21"/>
              </w:rPr>
              <w:t>功能及技术参数</w:t>
            </w:r>
          </w:p>
        </w:tc>
      </w:tr>
      <w:tr>
        <w:tblPrEx>
          <w:tblCellMar>
            <w:top w:w="0" w:type="dxa"/>
            <w:left w:w="108" w:type="dxa"/>
            <w:bottom w:w="0" w:type="dxa"/>
            <w:right w:w="108" w:type="dxa"/>
          </w:tblCellMar>
        </w:tblPrEx>
        <w:trPr>
          <w:trHeight w:val="288" w:hRule="atLeast"/>
          <w:tblHeader/>
        </w:trPr>
        <w:tc>
          <w:tcPr>
            <w:tcW w:w="396" w:type="pct"/>
            <w:vMerge w:val="restart"/>
            <w:tcBorders>
              <w:top w:val="single" w:color="auto" w:sz="4" w:space="0"/>
              <w:left w:val="single" w:color="auto" w:sz="4" w:space="0"/>
              <w:right w:val="single" w:color="auto" w:sz="4" w:space="0"/>
            </w:tcBorders>
            <w:shd w:val="clear" w:color="auto" w:fill="auto"/>
            <w:vAlign w:val="center"/>
          </w:tcPr>
          <w:p>
            <w:pPr>
              <w:widowControl/>
              <w:jc w:val="center"/>
              <w:rPr>
                <w:rFonts w:ascii="仿宋_GB2312" w:eastAsia="仿宋_GB2312"/>
                <w:b/>
                <w:bCs/>
                <w:szCs w:val="21"/>
              </w:rPr>
            </w:pPr>
            <w:r>
              <w:rPr>
                <w:rFonts w:hint="eastAsia" w:ascii="仿宋_GB2312" w:eastAsia="仿宋_GB2312"/>
                <w:b/>
                <w:bCs/>
                <w:szCs w:val="21"/>
              </w:rPr>
              <w:t>1</w:t>
            </w:r>
          </w:p>
        </w:tc>
        <w:tc>
          <w:tcPr>
            <w:tcW w:w="1435" w:type="pct"/>
            <w:vMerge w:val="restart"/>
            <w:tcBorders>
              <w:top w:val="single" w:color="auto" w:sz="4" w:space="0"/>
              <w:left w:val="nil"/>
              <w:right w:val="single" w:color="auto" w:sz="4" w:space="0"/>
            </w:tcBorders>
            <w:shd w:val="clear" w:color="auto" w:fill="auto"/>
            <w:vAlign w:val="center"/>
          </w:tcPr>
          <w:p>
            <w:pPr>
              <w:widowControl/>
              <w:jc w:val="center"/>
              <w:rPr>
                <w:rFonts w:ascii="仿宋_GB2312" w:eastAsia="仿宋_GB2312"/>
                <w:b/>
                <w:bCs/>
                <w:szCs w:val="21"/>
              </w:rPr>
            </w:pPr>
            <w:r>
              <w:rPr>
                <w:rFonts w:hint="eastAsia" w:ascii="仿宋_GB2312" w:hAnsi="宋体" w:eastAsia="仿宋_GB2312"/>
                <w:bCs/>
                <w:szCs w:val="21"/>
                <w:lang w:eastAsia="zh-Hans"/>
              </w:rPr>
              <w:t>租用80M的互联网光纤</w:t>
            </w:r>
          </w:p>
        </w:tc>
        <w:tc>
          <w:tcPr>
            <w:tcW w:w="3169"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仿宋_GB2312" w:eastAsia="仿宋_GB2312"/>
                <w:b/>
                <w:bCs/>
                <w:szCs w:val="21"/>
              </w:rPr>
            </w:pPr>
            <w:r>
              <w:rPr>
                <w:rFonts w:hint="eastAsia" w:ascii="仿宋_GB2312" w:eastAsia="仿宋_GB2312"/>
                <w:bCs/>
                <w:szCs w:val="21"/>
                <w:lang w:eastAsia="zh-Hans"/>
              </w:rPr>
              <w:t xml:space="preserve">1. </w:t>
            </w:r>
            <w:r>
              <w:rPr>
                <w:rFonts w:hint="eastAsia" w:ascii="仿宋_GB2312" w:eastAsia="仿宋_GB2312"/>
                <w:bCs/>
                <w:szCs w:val="21"/>
              </w:rPr>
              <w:t>地点：</w:t>
            </w:r>
            <w:r>
              <w:rPr>
                <w:rFonts w:hint="eastAsia" w:ascii="仿宋_GB2312" w:eastAsia="仿宋_GB2312"/>
                <w:bCs/>
                <w:szCs w:val="21"/>
                <w:lang w:eastAsia="zh-Hans"/>
              </w:rPr>
              <w:t>湖北省卫生健康委卓刀泉机房</w:t>
            </w:r>
          </w:p>
        </w:tc>
      </w:tr>
      <w:tr>
        <w:tblPrEx>
          <w:tblCellMar>
            <w:top w:w="0" w:type="dxa"/>
            <w:left w:w="108" w:type="dxa"/>
            <w:bottom w:w="0" w:type="dxa"/>
            <w:right w:w="108" w:type="dxa"/>
          </w:tblCellMar>
        </w:tblPrEx>
        <w:trPr>
          <w:trHeight w:val="288" w:hRule="atLeast"/>
          <w:tblHeader/>
        </w:trPr>
        <w:tc>
          <w:tcPr>
            <w:tcW w:w="396" w:type="pct"/>
            <w:vMerge w:val="continue"/>
            <w:tcBorders>
              <w:left w:val="single" w:color="auto" w:sz="4" w:space="0"/>
              <w:right w:val="single" w:color="auto" w:sz="4" w:space="0"/>
            </w:tcBorders>
            <w:shd w:val="clear" w:color="auto" w:fill="auto"/>
            <w:vAlign w:val="center"/>
          </w:tcPr>
          <w:p>
            <w:pPr>
              <w:widowControl/>
              <w:jc w:val="center"/>
              <w:rPr>
                <w:rFonts w:ascii="仿宋_GB2312" w:eastAsia="仿宋_GB2312"/>
                <w:b/>
                <w:bCs/>
                <w:szCs w:val="21"/>
              </w:rPr>
            </w:pPr>
          </w:p>
        </w:tc>
        <w:tc>
          <w:tcPr>
            <w:tcW w:w="1435" w:type="pct"/>
            <w:vMerge w:val="continue"/>
            <w:tcBorders>
              <w:left w:val="nil"/>
              <w:right w:val="single" w:color="auto" w:sz="4" w:space="0"/>
            </w:tcBorders>
            <w:shd w:val="clear" w:color="auto" w:fill="auto"/>
            <w:vAlign w:val="center"/>
          </w:tcPr>
          <w:p>
            <w:pPr>
              <w:widowControl/>
              <w:jc w:val="center"/>
              <w:rPr>
                <w:rFonts w:ascii="仿宋_GB2312" w:eastAsia="仿宋_GB2312"/>
                <w:bCs/>
                <w:szCs w:val="21"/>
                <w:lang w:eastAsia="zh-Hans"/>
              </w:rPr>
            </w:pPr>
          </w:p>
        </w:tc>
        <w:tc>
          <w:tcPr>
            <w:tcW w:w="3169"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仿宋_GB2312" w:eastAsia="仿宋_GB2312"/>
                <w:bCs/>
                <w:szCs w:val="21"/>
                <w:lang w:eastAsia="zh-Hans"/>
              </w:rPr>
            </w:pPr>
            <w:r>
              <w:rPr>
                <w:rFonts w:ascii="仿宋_GB2312" w:eastAsia="仿宋_GB2312"/>
                <w:bCs/>
                <w:szCs w:val="21"/>
                <w:lang w:eastAsia="zh-Hans"/>
              </w:rPr>
              <w:t>2.IP地址：</w:t>
            </w:r>
            <w:r>
              <w:rPr>
                <w:rFonts w:hint="eastAsia" w:ascii="仿宋_GB2312" w:eastAsia="仿宋_GB2312"/>
                <w:bCs/>
                <w:szCs w:val="21"/>
                <w:lang w:eastAsia="zh-Hans"/>
              </w:rPr>
              <w:t>211.145.101.141～211.145.101.142</w:t>
            </w:r>
          </w:p>
        </w:tc>
      </w:tr>
      <w:tr>
        <w:tblPrEx>
          <w:tblCellMar>
            <w:top w:w="0" w:type="dxa"/>
            <w:left w:w="108" w:type="dxa"/>
            <w:bottom w:w="0" w:type="dxa"/>
            <w:right w:w="108" w:type="dxa"/>
          </w:tblCellMar>
        </w:tblPrEx>
        <w:trPr>
          <w:trHeight w:val="288" w:hRule="atLeast"/>
          <w:tblHeader/>
        </w:trPr>
        <w:tc>
          <w:tcPr>
            <w:tcW w:w="396" w:type="pct"/>
            <w:vMerge w:val="continue"/>
            <w:tcBorders>
              <w:left w:val="single" w:color="auto" w:sz="4" w:space="0"/>
              <w:right w:val="single" w:color="auto" w:sz="4" w:space="0"/>
            </w:tcBorders>
            <w:shd w:val="clear" w:color="auto" w:fill="auto"/>
            <w:vAlign w:val="center"/>
          </w:tcPr>
          <w:p>
            <w:pPr>
              <w:widowControl/>
              <w:jc w:val="center"/>
              <w:rPr>
                <w:rFonts w:ascii="仿宋_GB2312" w:eastAsia="仿宋_GB2312"/>
                <w:b/>
                <w:bCs/>
                <w:szCs w:val="21"/>
              </w:rPr>
            </w:pPr>
          </w:p>
        </w:tc>
        <w:tc>
          <w:tcPr>
            <w:tcW w:w="1435" w:type="pct"/>
            <w:vMerge w:val="continue"/>
            <w:tcBorders>
              <w:left w:val="nil"/>
              <w:right w:val="single" w:color="auto" w:sz="4" w:space="0"/>
            </w:tcBorders>
            <w:shd w:val="clear" w:color="auto" w:fill="auto"/>
            <w:vAlign w:val="center"/>
          </w:tcPr>
          <w:p>
            <w:pPr>
              <w:widowControl/>
              <w:jc w:val="center"/>
              <w:rPr>
                <w:rFonts w:ascii="仿宋_GB2312" w:eastAsia="仿宋_GB2312"/>
                <w:bCs/>
                <w:szCs w:val="21"/>
                <w:lang w:eastAsia="zh-Hans"/>
              </w:rPr>
            </w:pPr>
          </w:p>
        </w:tc>
        <w:tc>
          <w:tcPr>
            <w:tcW w:w="3169"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仿宋_GB2312" w:eastAsia="仿宋_GB2312"/>
                <w:bCs/>
                <w:szCs w:val="21"/>
              </w:rPr>
            </w:pPr>
            <w:r>
              <w:rPr>
                <w:rFonts w:hint="eastAsia" w:ascii="仿宋_GB2312" w:eastAsia="仿宋_GB2312"/>
                <w:bCs/>
                <w:szCs w:val="21"/>
              </w:rPr>
              <w:t>3端口：以太网口</w:t>
            </w:r>
            <w:r>
              <w:rPr>
                <w:rFonts w:ascii="仿宋_GB2312" w:eastAsia="仿宋_GB2312"/>
                <w:bCs/>
                <w:szCs w:val="21"/>
              </w:rPr>
              <w:t>RJ45</w:t>
            </w:r>
          </w:p>
        </w:tc>
      </w:tr>
      <w:tr>
        <w:tblPrEx>
          <w:tblCellMar>
            <w:top w:w="0" w:type="dxa"/>
            <w:left w:w="108" w:type="dxa"/>
            <w:bottom w:w="0" w:type="dxa"/>
            <w:right w:w="108" w:type="dxa"/>
          </w:tblCellMar>
        </w:tblPrEx>
        <w:trPr>
          <w:trHeight w:val="288" w:hRule="atLeast"/>
          <w:tblHeader/>
        </w:trPr>
        <w:tc>
          <w:tcPr>
            <w:tcW w:w="396" w:type="pct"/>
            <w:vMerge w:val="restart"/>
            <w:tcBorders>
              <w:top w:val="single" w:color="auto" w:sz="4" w:space="0"/>
              <w:left w:val="single" w:color="auto" w:sz="4" w:space="0"/>
              <w:right w:val="single" w:color="auto" w:sz="4" w:space="0"/>
            </w:tcBorders>
            <w:shd w:val="clear" w:color="auto" w:fill="auto"/>
            <w:vAlign w:val="center"/>
          </w:tcPr>
          <w:p>
            <w:pPr>
              <w:widowControl/>
              <w:jc w:val="center"/>
              <w:rPr>
                <w:rFonts w:ascii="仿宋_GB2312" w:eastAsia="仿宋_GB2312"/>
                <w:b/>
                <w:bCs/>
                <w:szCs w:val="21"/>
              </w:rPr>
            </w:pPr>
            <w:r>
              <w:rPr>
                <w:rFonts w:hint="eastAsia" w:ascii="仿宋_GB2312" w:eastAsia="仿宋_GB2312"/>
                <w:b/>
                <w:bCs/>
                <w:szCs w:val="21"/>
              </w:rPr>
              <w:t>2</w:t>
            </w:r>
          </w:p>
        </w:tc>
        <w:tc>
          <w:tcPr>
            <w:tcW w:w="1435" w:type="pct"/>
            <w:vMerge w:val="restart"/>
            <w:tcBorders>
              <w:top w:val="single" w:color="auto" w:sz="4" w:space="0"/>
              <w:left w:val="nil"/>
              <w:right w:val="single" w:color="auto" w:sz="4" w:space="0"/>
            </w:tcBorders>
            <w:shd w:val="clear" w:color="auto" w:fill="auto"/>
            <w:vAlign w:val="center"/>
          </w:tcPr>
          <w:p>
            <w:pPr>
              <w:widowControl/>
              <w:jc w:val="center"/>
              <w:rPr>
                <w:rFonts w:ascii="仿宋_GB2312" w:eastAsia="仿宋_GB2312"/>
                <w:bCs/>
                <w:szCs w:val="21"/>
                <w:lang w:eastAsia="zh-Hans"/>
              </w:rPr>
            </w:pPr>
            <w:r>
              <w:rPr>
                <w:rFonts w:hint="eastAsia" w:ascii="仿宋_GB2312" w:eastAsia="仿宋_GB2312"/>
                <w:bCs/>
                <w:szCs w:val="21"/>
                <w:lang w:eastAsia="zh-Hans"/>
              </w:rPr>
              <w:t>2M的SDH光纤专线链路</w:t>
            </w:r>
          </w:p>
        </w:tc>
        <w:tc>
          <w:tcPr>
            <w:tcW w:w="3169"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仿宋_GB2312" w:eastAsia="仿宋_GB2312"/>
                <w:b/>
                <w:bCs/>
                <w:szCs w:val="21"/>
              </w:rPr>
            </w:pPr>
            <w:r>
              <w:rPr>
                <w:rFonts w:hint="eastAsia" w:ascii="仿宋_GB2312" w:eastAsia="仿宋_GB2312"/>
                <w:bCs/>
                <w:szCs w:val="21"/>
                <w:lang w:eastAsia="zh-Hans"/>
              </w:rPr>
              <w:t>1.</w:t>
            </w:r>
            <w:r>
              <w:rPr>
                <w:rFonts w:hint="eastAsia" w:ascii="仿宋_GB2312" w:eastAsia="仿宋_GB2312"/>
                <w:bCs/>
                <w:szCs w:val="21"/>
              </w:rPr>
              <w:t>地点：</w:t>
            </w:r>
            <w:r>
              <w:rPr>
                <w:rFonts w:hint="eastAsia" w:ascii="仿宋_GB2312" w:eastAsia="仿宋_GB2312"/>
                <w:bCs/>
                <w:szCs w:val="21"/>
                <w:lang w:eastAsia="zh-Hans"/>
              </w:rPr>
              <w:t>湖北省卫生健康委</w:t>
            </w:r>
            <w:r>
              <w:rPr>
                <w:rFonts w:hint="eastAsia" w:ascii="仿宋_GB2312" w:eastAsia="仿宋_GB2312"/>
                <w:bCs/>
                <w:szCs w:val="21"/>
              </w:rPr>
              <w:t>至国家卫生健康委</w:t>
            </w:r>
          </w:p>
        </w:tc>
      </w:tr>
      <w:tr>
        <w:tblPrEx>
          <w:tblCellMar>
            <w:top w:w="0" w:type="dxa"/>
            <w:left w:w="108" w:type="dxa"/>
            <w:bottom w:w="0" w:type="dxa"/>
            <w:right w:w="108" w:type="dxa"/>
          </w:tblCellMar>
        </w:tblPrEx>
        <w:trPr>
          <w:trHeight w:val="288" w:hRule="atLeast"/>
          <w:tblHeader/>
        </w:trPr>
        <w:tc>
          <w:tcPr>
            <w:tcW w:w="396" w:type="pct"/>
            <w:vMerge w:val="continue"/>
            <w:tcBorders>
              <w:left w:val="single" w:color="auto" w:sz="4" w:space="0"/>
              <w:right w:val="single" w:color="auto" w:sz="4" w:space="0"/>
            </w:tcBorders>
            <w:shd w:val="clear" w:color="auto" w:fill="auto"/>
            <w:vAlign w:val="center"/>
          </w:tcPr>
          <w:p>
            <w:pPr>
              <w:widowControl/>
              <w:jc w:val="center"/>
              <w:rPr>
                <w:rFonts w:ascii="仿宋_GB2312" w:eastAsia="仿宋_GB2312"/>
                <w:b/>
                <w:bCs/>
                <w:szCs w:val="21"/>
              </w:rPr>
            </w:pPr>
          </w:p>
        </w:tc>
        <w:tc>
          <w:tcPr>
            <w:tcW w:w="1435" w:type="pct"/>
            <w:vMerge w:val="continue"/>
            <w:tcBorders>
              <w:left w:val="nil"/>
              <w:right w:val="single" w:color="auto" w:sz="4" w:space="0"/>
            </w:tcBorders>
            <w:shd w:val="clear" w:color="auto" w:fill="auto"/>
            <w:vAlign w:val="center"/>
          </w:tcPr>
          <w:p>
            <w:pPr>
              <w:widowControl/>
              <w:jc w:val="center"/>
              <w:rPr>
                <w:rFonts w:ascii="仿宋_GB2312" w:eastAsia="仿宋_GB2312"/>
                <w:bCs/>
                <w:szCs w:val="21"/>
                <w:lang w:eastAsia="zh-Hans"/>
              </w:rPr>
            </w:pPr>
          </w:p>
        </w:tc>
        <w:tc>
          <w:tcPr>
            <w:tcW w:w="3169"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仿宋_GB2312" w:eastAsia="仿宋_GB2312"/>
                <w:bCs/>
                <w:szCs w:val="21"/>
                <w:lang w:eastAsia="zh-Hans"/>
              </w:rPr>
            </w:pPr>
            <w:r>
              <w:rPr>
                <w:rFonts w:ascii="仿宋_GB2312" w:eastAsia="仿宋_GB2312"/>
                <w:bCs/>
                <w:szCs w:val="21"/>
                <w:lang w:eastAsia="zh-Hans"/>
              </w:rPr>
              <w:t>2.IP地址：</w:t>
            </w:r>
            <w:r>
              <w:rPr>
                <w:rFonts w:hint="eastAsia" w:ascii="仿宋_GB2312" w:eastAsia="仿宋_GB2312"/>
                <w:bCs/>
                <w:szCs w:val="21"/>
                <w:lang w:eastAsia="zh-Hans"/>
              </w:rPr>
              <w:t>211.145.101.141～211.145.101.142</w:t>
            </w:r>
          </w:p>
        </w:tc>
      </w:tr>
      <w:tr>
        <w:tblPrEx>
          <w:tblCellMar>
            <w:top w:w="0" w:type="dxa"/>
            <w:left w:w="108" w:type="dxa"/>
            <w:bottom w:w="0" w:type="dxa"/>
            <w:right w:w="108" w:type="dxa"/>
          </w:tblCellMar>
        </w:tblPrEx>
        <w:trPr>
          <w:trHeight w:val="288" w:hRule="atLeast"/>
          <w:tblHeader/>
        </w:trPr>
        <w:tc>
          <w:tcPr>
            <w:tcW w:w="396" w:type="pct"/>
            <w:vMerge w:val="continue"/>
            <w:tcBorders>
              <w:left w:val="single" w:color="auto" w:sz="4" w:space="0"/>
              <w:right w:val="single" w:color="auto" w:sz="4" w:space="0"/>
            </w:tcBorders>
            <w:shd w:val="clear" w:color="auto" w:fill="auto"/>
            <w:vAlign w:val="center"/>
          </w:tcPr>
          <w:p>
            <w:pPr>
              <w:widowControl/>
              <w:jc w:val="center"/>
              <w:rPr>
                <w:rFonts w:ascii="仿宋_GB2312" w:eastAsia="仿宋_GB2312"/>
                <w:b/>
                <w:bCs/>
                <w:szCs w:val="21"/>
              </w:rPr>
            </w:pPr>
          </w:p>
        </w:tc>
        <w:tc>
          <w:tcPr>
            <w:tcW w:w="1435" w:type="pct"/>
            <w:vMerge w:val="continue"/>
            <w:tcBorders>
              <w:left w:val="nil"/>
              <w:right w:val="single" w:color="auto" w:sz="4" w:space="0"/>
            </w:tcBorders>
            <w:shd w:val="clear" w:color="auto" w:fill="auto"/>
            <w:vAlign w:val="center"/>
          </w:tcPr>
          <w:p>
            <w:pPr>
              <w:widowControl/>
              <w:jc w:val="center"/>
              <w:rPr>
                <w:rFonts w:ascii="仿宋_GB2312" w:eastAsia="仿宋_GB2312"/>
                <w:bCs/>
                <w:szCs w:val="21"/>
                <w:lang w:eastAsia="zh-Hans"/>
              </w:rPr>
            </w:pPr>
          </w:p>
        </w:tc>
        <w:tc>
          <w:tcPr>
            <w:tcW w:w="3169"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仿宋_GB2312" w:eastAsia="仿宋_GB2312"/>
                <w:bCs/>
                <w:szCs w:val="21"/>
              </w:rPr>
            </w:pPr>
            <w:r>
              <w:rPr>
                <w:rFonts w:hint="eastAsia" w:ascii="仿宋_GB2312" w:eastAsia="仿宋_GB2312"/>
                <w:bCs/>
                <w:szCs w:val="21"/>
              </w:rPr>
              <w:t>3.端口：以太网口</w:t>
            </w:r>
            <w:r>
              <w:rPr>
                <w:rFonts w:ascii="仿宋_GB2312" w:eastAsia="仿宋_GB2312"/>
                <w:bCs/>
                <w:szCs w:val="21"/>
              </w:rPr>
              <w:t>RJ45</w:t>
            </w:r>
          </w:p>
        </w:tc>
      </w:tr>
      <w:tr>
        <w:tblPrEx>
          <w:tblCellMar>
            <w:top w:w="0" w:type="dxa"/>
            <w:left w:w="108" w:type="dxa"/>
            <w:bottom w:w="0" w:type="dxa"/>
            <w:right w:w="108" w:type="dxa"/>
          </w:tblCellMar>
        </w:tblPrEx>
        <w:trPr>
          <w:trHeight w:val="288" w:hRule="atLeast"/>
          <w:tblHeader/>
        </w:trPr>
        <w:tc>
          <w:tcPr>
            <w:tcW w:w="396" w:type="pct"/>
            <w:tcBorders>
              <w:left w:val="single" w:color="auto" w:sz="4" w:space="0"/>
              <w:right w:val="single" w:color="auto" w:sz="4" w:space="0"/>
            </w:tcBorders>
            <w:shd w:val="clear" w:color="auto" w:fill="auto"/>
            <w:vAlign w:val="center"/>
          </w:tcPr>
          <w:p>
            <w:pPr>
              <w:widowControl/>
              <w:jc w:val="center"/>
              <w:rPr>
                <w:rFonts w:ascii="仿宋_GB2312" w:eastAsia="仿宋_GB2312"/>
                <w:b/>
                <w:bCs/>
                <w:szCs w:val="21"/>
              </w:rPr>
            </w:pPr>
          </w:p>
        </w:tc>
        <w:tc>
          <w:tcPr>
            <w:tcW w:w="1435" w:type="pct"/>
            <w:tcBorders>
              <w:left w:val="nil"/>
              <w:right w:val="single" w:color="auto" w:sz="4" w:space="0"/>
            </w:tcBorders>
            <w:shd w:val="clear" w:color="auto" w:fill="auto"/>
            <w:vAlign w:val="center"/>
          </w:tcPr>
          <w:p>
            <w:pPr>
              <w:widowControl/>
              <w:jc w:val="center"/>
              <w:rPr>
                <w:rFonts w:ascii="仿宋_GB2312" w:eastAsia="仿宋_GB2312"/>
                <w:bCs/>
                <w:szCs w:val="21"/>
                <w:lang w:eastAsia="zh-Hans"/>
              </w:rPr>
            </w:pPr>
          </w:p>
        </w:tc>
        <w:tc>
          <w:tcPr>
            <w:tcW w:w="3169"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仿宋_GB2312" w:eastAsia="仿宋_GB2312"/>
                <w:bCs/>
                <w:szCs w:val="21"/>
              </w:rPr>
            </w:pPr>
            <w:r>
              <w:rPr>
                <w:rFonts w:hint="eastAsia" w:ascii="仿宋_GB2312" w:eastAsia="仿宋_GB2312"/>
                <w:bCs/>
                <w:szCs w:val="21"/>
              </w:rPr>
              <w:t>4．组网方式：点对点组网方式</w:t>
            </w:r>
          </w:p>
        </w:tc>
      </w:tr>
      <w:tr>
        <w:tblPrEx>
          <w:tblCellMar>
            <w:top w:w="0" w:type="dxa"/>
            <w:left w:w="108" w:type="dxa"/>
            <w:bottom w:w="0" w:type="dxa"/>
            <w:right w:w="108" w:type="dxa"/>
          </w:tblCellMar>
        </w:tblPrEx>
        <w:trPr>
          <w:trHeight w:val="288" w:hRule="atLeast"/>
          <w:tblHeader/>
        </w:trPr>
        <w:tc>
          <w:tcPr>
            <w:tcW w:w="396"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_GB2312" w:eastAsia="仿宋_GB2312"/>
                <w:b/>
                <w:bCs/>
                <w:szCs w:val="21"/>
              </w:rPr>
            </w:pPr>
            <w:r>
              <w:rPr>
                <w:rFonts w:hint="eastAsia" w:ascii="仿宋_GB2312" w:eastAsia="仿宋_GB2312"/>
                <w:b/>
                <w:bCs/>
                <w:szCs w:val="21"/>
              </w:rPr>
              <w:t>3</w:t>
            </w:r>
          </w:p>
        </w:tc>
        <w:tc>
          <w:tcPr>
            <w:tcW w:w="1435"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仿宋_GB2312" w:eastAsia="仿宋_GB2312"/>
                <w:bCs/>
                <w:szCs w:val="21"/>
                <w:lang w:eastAsia="zh-Hans"/>
              </w:rPr>
            </w:pPr>
            <w:r>
              <w:rPr>
                <w:rFonts w:hint="eastAsia" w:ascii="仿宋_GB2312" w:eastAsia="仿宋_GB2312"/>
                <w:bCs/>
                <w:szCs w:val="21"/>
              </w:rPr>
              <w:t>基础网络接入设备</w:t>
            </w:r>
          </w:p>
        </w:tc>
        <w:tc>
          <w:tcPr>
            <w:tcW w:w="3169"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仿宋_GB2312" w:eastAsia="仿宋_GB2312"/>
                <w:bCs/>
                <w:szCs w:val="21"/>
                <w:lang w:eastAsia="zh-Hans"/>
              </w:rPr>
            </w:pPr>
            <w:r>
              <w:rPr>
                <w:rFonts w:hint="eastAsia" w:ascii="仿宋_GB2312" w:eastAsia="仿宋_GB2312"/>
                <w:bCs/>
                <w:szCs w:val="21"/>
                <w:lang w:eastAsia="zh-Hans"/>
              </w:rPr>
              <w:t>提供光调制解调器、交换机、板卡等相关网络设备。</w:t>
            </w:r>
          </w:p>
        </w:tc>
      </w:tr>
      <w:tr>
        <w:tblPrEx>
          <w:tblCellMar>
            <w:top w:w="0" w:type="dxa"/>
            <w:left w:w="108" w:type="dxa"/>
            <w:bottom w:w="0" w:type="dxa"/>
            <w:right w:w="108" w:type="dxa"/>
          </w:tblCellMar>
        </w:tblPrEx>
        <w:trPr>
          <w:trHeight w:val="288" w:hRule="atLeast"/>
          <w:tblHeader/>
        </w:trPr>
        <w:tc>
          <w:tcPr>
            <w:tcW w:w="396"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_GB2312" w:eastAsia="仿宋_GB2312"/>
                <w:b/>
                <w:bCs/>
                <w:szCs w:val="21"/>
              </w:rPr>
            </w:pPr>
            <w:r>
              <w:rPr>
                <w:rFonts w:hint="eastAsia" w:ascii="仿宋_GB2312" w:eastAsia="仿宋_GB2312"/>
                <w:b/>
                <w:bCs/>
                <w:szCs w:val="21"/>
              </w:rPr>
              <w:t>4</w:t>
            </w:r>
          </w:p>
        </w:tc>
        <w:tc>
          <w:tcPr>
            <w:tcW w:w="1435"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仿宋_GB2312" w:eastAsia="仿宋_GB2312"/>
                <w:bCs/>
                <w:szCs w:val="21"/>
              </w:rPr>
            </w:pPr>
            <w:r>
              <w:rPr>
                <w:rFonts w:hint="eastAsia" w:ascii="仿宋_GB2312" w:eastAsia="仿宋_GB2312"/>
                <w:bCs/>
                <w:szCs w:val="21"/>
              </w:rPr>
              <w:t>提供流量清洗服务</w:t>
            </w:r>
          </w:p>
        </w:tc>
        <w:tc>
          <w:tcPr>
            <w:tcW w:w="3169"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仿宋_GB2312" w:eastAsia="仿宋_GB2312"/>
                <w:bCs/>
                <w:szCs w:val="21"/>
              </w:rPr>
            </w:pPr>
            <w:r>
              <w:rPr>
                <w:rFonts w:hint="eastAsia" w:ascii="仿宋_GB2312" w:eastAsia="仿宋_GB2312"/>
                <w:bCs/>
                <w:szCs w:val="21"/>
                <w:lang w:eastAsia="zh-Hans"/>
              </w:rPr>
              <w:t>非法攻击流量达到</w:t>
            </w:r>
            <w:r>
              <w:rPr>
                <w:rFonts w:ascii="仿宋_GB2312" w:eastAsia="仿宋_GB2312"/>
                <w:bCs/>
                <w:szCs w:val="21"/>
                <w:lang w:eastAsia="zh-Hans"/>
              </w:rPr>
              <w:t>1G</w:t>
            </w:r>
            <w:r>
              <w:rPr>
                <w:rFonts w:hint="eastAsia" w:ascii="仿宋_GB2312" w:eastAsia="仿宋_GB2312"/>
                <w:bCs/>
                <w:szCs w:val="21"/>
              </w:rPr>
              <w:t>时提供流量清洗服务</w:t>
            </w:r>
          </w:p>
        </w:tc>
      </w:tr>
      <w:tr>
        <w:tblPrEx>
          <w:tblCellMar>
            <w:top w:w="0" w:type="dxa"/>
            <w:left w:w="108" w:type="dxa"/>
            <w:bottom w:w="0" w:type="dxa"/>
            <w:right w:w="108" w:type="dxa"/>
          </w:tblCellMar>
        </w:tblPrEx>
        <w:trPr>
          <w:trHeight w:val="288" w:hRule="atLeast"/>
          <w:tblHeader/>
        </w:trPr>
        <w:tc>
          <w:tcPr>
            <w:tcW w:w="396" w:type="pct"/>
            <w:vMerge w:val="restart"/>
            <w:tcBorders>
              <w:top w:val="single" w:color="auto" w:sz="4" w:space="0"/>
              <w:left w:val="single" w:color="auto" w:sz="4" w:space="0"/>
              <w:right w:val="single" w:color="auto" w:sz="4" w:space="0"/>
            </w:tcBorders>
            <w:shd w:val="clear" w:color="auto" w:fill="auto"/>
            <w:vAlign w:val="center"/>
          </w:tcPr>
          <w:p>
            <w:pPr>
              <w:widowControl/>
              <w:jc w:val="center"/>
              <w:rPr>
                <w:rFonts w:ascii="仿宋_GB2312" w:eastAsia="仿宋_GB2312"/>
                <w:b/>
                <w:bCs/>
                <w:szCs w:val="21"/>
              </w:rPr>
            </w:pPr>
            <w:r>
              <w:rPr>
                <w:rFonts w:hint="eastAsia" w:ascii="仿宋_GB2312" w:eastAsia="仿宋_GB2312"/>
                <w:b/>
                <w:bCs/>
                <w:szCs w:val="21"/>
              </w:rPr>
              <w:t>5</w:t>
            </w:r>
          </w:p>
        </w:tc>
        <w:tc>
          <w:tcPr>
            <w:tcW w:w="1435" w:type="pct"/>
            <w:vMerge w:val="restart"/>
            <w:tcBorders>
              <w:top w:val="single" w:color="auto" w:sz="4" w:space="0"/>
              <w:left w:val="nil"/>
              <w:right w:val="single" w:color="auto" w:sz="4" w:space="0"/>
            </w:tcBorders>
            <w:shd w:val="clear" w:color="auto" w:fill="auto"/>
            <w:vAlign w:val="center"/>
          </w:tcPr>
          <w:p>
            <w:pPr>
              <w:widowControl/>
              <w:jc w:val="center"/>
              <w:rPr>
                <w:rFonts w:ascii="仿宋_GB2312" w:eastAsia="仿宋_GB2312"/>
                <w:bCs/>
                <w:szCs w:val="21"/>
              </w:rPr>
            </w:pPr>
            <w:r>
              <w:rPr>
                <w:rFonts w:hint="eastAsia" w:ascii="仿宋_GB2312" w:eastAsia="仿宋_GB2312"/>
                <w:bCs/>
                <w:szCs w:val="21"/>
              </w:rPr>
              <w:t>运维保障服务</w:t>
            </w:r>
          </w:p>
        </w:tc>
        <w:tc>
          <w:tcPr>
            <w:tcW w:w="3169"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仿宋_GB2312" w:eastAsia="仿宋_GB2312"/>
                <w:bCs/>
                <w:szCs w:val="21"/>
              </w:rPr>
            </w:pPr>
            <w:r>
              <w:rPr>
                <w:rFonts w:hint="eastAsia" w:ascii="仿宋_GB2312" w:eastAsia="仿宋_GB2312"/>
                <w:bCs/>
                <w:szCs w:val="21"/>
              </w:rPr>
              <w:t>1.提供高速、稳定的端到端网络通信服务，免费提供线路接入设备及相关连接用户设备的线缆，性能参数应满足信息产业部于2005年4月20日起施行的《电信服务规范》的要求。</w:t>
            </w:r>
          </w:p>
        </w:tc>
      </w:tr>
      <w:tr>
        <w:tblPrEx>
          <w:tblCellMar>
            <w:top w:w="0" w:type="dxa"/>
            <w:left w:w="108" w:type="dxa"/>
            <w:bottom w:w="0" w:type="dxa"/>
            <w:right w:w="108" w:type="dxa"/>
          </w:tblCellMar>
        </w:tblPrEx>
        <w:trPr>
          <w:trHeight w:val="288" w:hRule="atLeast"/>
          <w:tblHeader/>
        </w:trPr>
        <w:tc>
          <w:tcPr>
            <w:tcW w:w="396" w:type="pct"/>
            <w:vMerge w:val="continue"/>
            <w:tcBorders>
              <w:left w:val="single" w:color="auto" w:sz="4" w:space="0"/>
              <w:right w:val="single" w:color="auto" w:sz="4" w:space="0"/>
            </w:tcBorders>
            <w:shd w:val="clear" w:color="auto" w:fill="auto"/>
            <w:vAlign w:val="center"/>
          </w:tcPr>
          <w:p>
            <w:pPr>
              <w:widowControl/>
              <w:jc w:val="center"/>
              <w:rPr>
                <w:rFonts w:ascii="仿宋_GB2312" w:eastAsia="仿宋_GB2312"/>
                <w:b/>
                <w:bCs/>
                <w:szCs w:val="21"/>
              </w:rPr>
            </w:pPr>
          </w:p>
        </w:tc>
        <w:tc>
          <w:tcPr>
            <w:tcW w:w="1435" w:type="pct"/>
            <w:vMerge w:val="continue"/>
            <w:tcBorders>
              <w:left w:val="nil"/>
              <w:right w:val="single" w:color="auto" w:sz="4" w:space="0"/>
            </w:tcBorders>
            <w:shd w:val="clear" w:color="auto" w:fill="auto"/>
            <w:vAlign w:val="center"/>
          </w:tcPr>
          <w:p>
            <w:pPr>
              <w:widowControl/>
              <w:jc w:val="center"/>
              <w:rPr>
                <w:rFonts w:ascii="仿宋_GB2312" w:eastAsia="仿宋_GB2312"/>
                <w:bCs/>
                <w:szCs w:val="21"/>
              </w:rPr>
            </w:pPr>
          </w:p>
        </w:tc>
        <w:tc>
          <w:tcPr>
            <w:tcW w:w="3169"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仿宋_GB2312" w:eastAsia="仿宋_GB2312"/>
                <w:bCs/>
                <w:szCs w:val="21"/>
              </w:rPr>
            </w:pPr>
            <w:r>
              <w:rPr>
                <w:rFonts w:hint="eastAsia" w:ascii="仿宋_GB2312" w:eastAsia="仿宋_GB2312"/>
                <w:bCs/>
                <w:szCs w:val="21"/>
              </w:rPr>
              <w:t>2.</w:t>
            </w:r>
            <w:r>
              <w:rPr>
                <w:rFonts w:hint="eastAsia" w:cs="宋体"/>
                <w:sz w:val="24"/>
              </w:rPr>
              <w:t xml:space="preserve"> </w:t>
            </w:r>
            <w:r>
              <w:rPr>
                <w:rFonts w:hint="eastAsia" w:ascii="仿宋_GB2312" w:eastAsia="仿宋_GB2312"/>
                <w:bCs/>
                <w:szCs w:val="21"/>
              </w:rPr>
              <w:t>提供综合解决方案服务和快速响应服务；建立项目管理小组、实施小组及质量跟踪监管小组，提供实施竣工单及测试提供互联网及MSTP专线状态实时监测与网管监控；每季度提供网络运行分析与性能优化报告；提供业务咨询、组网设计、客户培训、跟踪回访。</w:t>
            </w:r>
          </w:p>
        </w:tc>
      </w:tr>
      <w:tr>
        <w:tblPrEx>
          <w:tblCellMar>
            <w:top w:w="0" w:type="dxa"/>
            <w:left w:w="108" w:type="dxa"/>
            <w:bottom w:w="0" w:type="dxa"/>
            <w:right w:w="108" w:type="dxa"/>
          </w:tblCellMar>
        </w:tblPrEx>
        <w:trPr>
          <w:trHeight w:val="288" w:hRule="atLeast"/>
          <w:tblHeader/>
        </w:trPr>
        <w:tc>
          <w:tcPr>
            <w:tcW w:w="396" w:type="pct"/>
            <w:vMerge w:val="continue"/>
            <w:tcBorders>
              <w:left w:val="single" w:color="auto" w:sz="4" w:space="0"/>
              <w:right w:val="single" w:color="auto" w:sz="4" w:space="0"/>
            </w:tcBorders>
            <w:shd w:val="clear" w:color="auto" w:fill="auto"/>
            <w:vAlign w:val="center"/>
          </w:tcPr>
          <w:p>
            <w:pPr>
              <w:widowControl/>
              <w:jc w:val="center"/>
              <w:rPr>
                <w:rFonts w:ascii="仿宋_GB2312" w:eastAsia="仿宋_GB2312"/>
                <w:b/>
                <w:bCs/>
                <w:szCs w:val="21"/>
              </w:rPr>
            </w:pPr>
          </w:p>
        </w:tc>
        <w:tc>
          <w:tcPr>
            <w:tcW w:w="1435" w:type="pct"/>
            <w:vMerge w:val="continue"/>
            <w:tcBorders>
              <w:left w:val="nil"/>
              <w:right w:val="single" w:color="auto" w:sz="4" w:space="0"/>
            </w:tcBorders>
            <w:shd w:val="clear" w:color="auto" w:fill="auto"/>
            <w:vAlign w:val="center"/>
          </w:tcPr>
          <w:p>
            <w:pPr>
              <w:widowControl/>
              <w:jc w:val="center"/>
              <w:rPr>
                <w:rFonts w:ascii="仿宋_GB2312" w:eastAsia="仿宋_GB2312"/>
                <w:bCs/>
                <w:szCs w:val="21"/>
              </w:rPr>
            </w:pPr>
          </w:p>
        </w:tc>
        <w:tc>
          <w:tcPr>
            <w:tcW w:w="3169"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仿宋_GB2312" w:eastAsia="仿宋_GB2312"/>
                <w:bCs/>
                <w:szCs w:val="21"/>
              </w:rPr>
            </w:pPr>
            <w:r>
              <w:rPr>
                <w:rFonts w:hint="eastAsia" w:ascii="仿宋_GB2312" w:eastAsia="仿宋_GB2312"/>
                <w:bCs/>
                <w:szCs w:val="21"/>
              </w:rPr>
              <w:t>3.</w:t>
            </w:r>
            <w:r>
              <w:rPr>
                <w:rFonts w:hint="eastAsia"/>
              </w:rPr>
              <w:t xml:space="preserve"> </w:t>
            </w:r>
            <w:r>
              <w:rPr>
                <w:rFonts w:hint="eastAsia" w:ascii="仿宋_GB2312" w:eastAsia="仿宋_GB2312"/>
                <w:bCs/>
                <w:szCs w:val="21"/>
              </w:rPr>
              <w:t>本项目实施过程中，供应商需要湖北省卫生健康委原有链路租用服务提供商的有效配合, 必须保证链路的无缝对接，不影响相关业务系统正常运行，并提供本服务项目的部署、实施的详细方案及说明；供应商应充分考虑这一因素，并在投标报价中包含施工配合费、改造（线路、设备）费等相关费用。</w:t>
            </w:r>
          </w:p>
        </w:tc>
      </w:tr>
      <w:tr>
        <w:tblPrEx>
          <w:tblCellMar>
            <w:top w:w="0" w:type="dxa"/>
            <w:left w:w="108" w:type="dxa"/>
            <w:bottom w:w="0" w:type="dxa"/>
            <w:right w:w="108" w:type="dxa"/>
          </w:tblCellMar>
        </w:tblPrEx>
        <w:trPr>
          <w:trHeight w:val="288" w:hRule="atLeast"/>
          <w:tblHeader/>
        </w:trPr>
        <w:tc>
          <w:tcPr>
            <w:tcW w:w="396" w:type="pct"/>
            <w:vMerge w:val="continue"/>
            <w:tcBorders>
              <w:left w:val="single" w:color="auto" w:sz="4" w:space="0"/>
              <w:bottom w:val="single" w:color="auto" w:sz="4" w:space="0"/>
              <w:right w:val="single" w:color="auto" w:sz="4" w:space="0"/>
            </w:tcBorders>
            <w:shd w:val="clear" w:color="auto" w:fill="auto"/>
            <w:vAlign w:val="center"/>
          </w:tcPr>
          <w:p>
            <w:pPr>
              <w:widowControl/>
              <w:jc w:val="center"/>
              <w:rPr>
                <w:rFonts w:ascii="仿宋_GB2312" w:eastAsia="仿宋_GB2312"/>
                <w:b/>
                <w:bCs/>
                <w:szCs w:val="21"/>
              </w:rPr>
            </w:pPr>
          </w:p>
        </w:tc>
        <w:tc>
          <w:tcPr>
            <w:tcW w:w="1435" w:type="pct"/>
            <w:vMerge w:val="continue"/>
            <w:tcBorders>
              <w:left w:val="nil"/>
              <w:bottom w:val="single" w:color="auto" w:sz="4" w:space="0"/>
              <w:right w:val="single" w:color="auto" w:sz="4" w:space="0"/>
            </w:tcBorders>
            <w:shd w:val="clear" w:color="auto" w:fill="auto"/>
            <w:vAlign w:val="center"/>
          </w:tcPr>
          <w:p>
            <w:pPr>
              <w:widowControl/>
              <w:jc w:val="center"/>
              <w:rPr>
                <w:rFonts w:ascii="仿宋_GB2312" w:eastAsia="仿宋_GB2312"/>
                <w:bCs/>
                <w:szCs w:val="21"/>
              </w:rPr>
            </w:pPr>
          </w:p>
        </w:tc>
        <w:tc>
          <w:tcPr>
            <w:tcW w:w="3169"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仿宋_GB2312" w:eastAsia="仿宋_GB2312"/>
                <w:bCs/>
                <w:szCs w:val="21"/>
              </w:rPr>
            </w:pPr>
            <w:r>
              <w:rPr>
                <w:rFonts w:hint="eastAsia" w:ascii="仿宋_GB2312" w:eastAsia="仿宋_GB2312"/>
                <w:bCs/>
                <w:szCs w:val="21"/>
              </w:rPr>
              <w:t>4.</w:t>
            </w:r>
            <w:r>
              <w:rPr>
                <w:rFonts w:hint="eastAsia" w:ascii="宋体" w:hAnsi="宋体" w:cs="宋体"/>
                <w:sz w:val="24"/>
              </w:rPr>
              <w:t xml:space="preserve"> </w:t>
            </w:r>
            <w:r>
              <w:rPr>
                <w:rFonts w:hint="eastAsia" w:ascii="仿宋_GB2312" w:eastAsia="仿宋_GB2312"/>
                <w:bCs/>
                <w:szCs w:val="21"/>
              </w:rPr>
              <w:t>根据未来业务的增长和变化，供应商所提供的组网方案及设备必须满足平滑扩充和升级的要求，最大程度的减少对网络架构和现有设备的调整。与第二包的互联网光纤线路实现主备和负载均衡，并提供相关技术支持和服务。</w:t>
            </w:r>
          </w:p>
        </w:tc>
      </w:tr>
    </w:tbl>
    <w:p>
      <w:pPr>
        <w:pStyle w:val="10"/>
        <w:widowControl/>
        <w:numPr>
          <w:ilvl w:val="0"/>
          <w:numId w:val="1"/>
        </w:numPr>
        <w:spacing w:line="360" w:lineRule="auto"/>
        <w:ind w:firstLineChars="0"/>
        <w:jc w:val="left"/>
        <w:rPr>
          <w:rFonts w:ascii="黑体" w:hAnsi="黑体" w:eastAsia="黑体"/>
          <w:bCs/>
          <w:sz w:val="32"/>
          <w:szCs w:val="32"/>
        </w:rPr>
      </w:pPr>
      <w:r>
        <w:rPr>
          <w:rFonts w:hint="eastAsia" w:ascii="黑体" w:hAnsi="黑体" w:eastAsia="黑体"/>
          <w:bCs/>
          <w:sz w:val="32"/>
          <w:szCs w:val="32"/>
        </w:rPr>
        <w:t>商务要求</w:t>
      </w:r>
    </w:p>
    <w:tbl>
      <w:tblPr>
        <w:tblStyle w:val="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5"/>
        <w:gridCol w:w="1450"/>
        <w:gridCol w:w="62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490" w:type="pct"/>
            <w:shd w:val="clear" w:color="auto" w:fill="auto"/>
            <w:vAlign w:val="center"/>
          </w:tcPr>
          <w:p>
            <w:pPr>
              <w:tabs>
                <w:tab w:val="left" w:pos="72"/>
                <w:tab w:val="left" w:pos="130"/>
              </w:tabs>
              <w:snapToGrid w:val="0"/>
              <w:spacing w:line="360" w:lineRule="auto"/>
              <w:jc w:val="center"/>
              <w:rPr>
                <w:b/>
                <w:szCs w:val="21"/>
              </w:rPr>
            </w:pPr>
            <w:r>
              <w:rPr>
                <w:rFonts w:hint="eastAsia" w:ascii="仿宋_GB2312" w:eastAsia="仿宋_GB2312"/>
                <w:b/>
                <w:bCs/>
                <w:szCs w:val="21"/>
              </w:rPr>
              <w:t>序号</w:t>
            </w:r>
          </w:p>
        </w:tc>
        <w:tc>
          <w:tcPr>
            <w:tcW w:w="851" w:type="pct"/>
            <w:shd w:val="clear" w:color="auto" w:fill="auto"/>
            <w:vAlign w:val="center"/>
          </w:tcPr>
          <w:p>
            <w:pPr>
              <w:widowControl/>
              <w:jc w:val="center"/>
              <w:rPr>
                <w:rFonts w:ascii="仿宋_GB2312" w:eastAsia="仿宋_GB2312"/>
                <w:b/>
                <w:bCs/>
                <w:szCs w:val="21"/>
              </w:rPr>
            </w:pPr>
            <w:r>
              <w:rPr>
                <w:rFonts w:hint="eastAsia" w:ascii="仿宋_GB2312" w:eastAsia="仿宋_GB2312"/>
                <w:b/>
                <w:bCs/>
                <w:szCs w:val="21"/>
              </w:rPr>
              <w:t>商务条款</w:t>
            </w:r>
          </w:p>
        </w:tc>
        <w:tc>
          <w:tcPr>
            <w:tcW w:w="3659" w:type="pct"/>
            <w:shd w:val="clear" w:color="auto" w:fill="auto"/>
            <w:vAlign w:val="center"/>
          </w:tcPr>
          <w:p>
            <w:pPr>
              <w:widowControl/>
              <w:jc w:val="center"/>
              <w:rPr>
                <w:rFonts w:ascii="仿宋_GB2312" w:eastAsia="仿宋_GB2312"/>
                <w:b/>
                <w:bCs/>
                <w:szCs w:val="21"/>
              </w:rPr>
            </w:pPr>
            <w:r>
              <w:rPr>
                <w:rFonts w:hint="eastAsia" w:ascii="仿宋_GB2312" w:eastAsia="仿宋_GB2312"/>
                <w:b/>
                <w:bCs/>
                <w:szCs w:val="21"/>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490" w:type="pct"/>
            <w:shd w:val="clear" w:color="auto" w:fill="auto"/>
            <w:vAlign w:val="center"/>
          </w:tcPr>
          <w:p>
            <w:pPr>
              <w:numPr>
                <w:ilvl w:val="0"/>
                <w:numId w:val="2"/>
              </w:numPr>
              <w:tabs>
                <w:tab w:val="left" w:pos="72"/>
                <w:tab w:val="left" w:pos="130"/>
              </w:tabs>
              <w:snapToGrid w:val="0"/>
              <w:spacing w:line="360" w:lineRule="auto"/>
              <w:jc w:val="center"/>
              <w:rPr>
                <w:szCs w:val="21"/>
              </w:rPr>
            </w:pPr>
          </w:p>
        </w:tc>
        <w:tc>
          <w:tcPr>
            <w:tcW w:w="851" w:type="pct"/>
            <w:shd w:val="clear" w:color="auto" w:fill="auto"/>
            <w:vAlign w:val="center"/>
          </w:tcPr>
          <w:p>
            <w:pPr>
              <w:widowControl/>
              <w:jc w:val="left"/>
              <w:rPr>
                <w:rFonts w:ascii="仿宋_GB2312" w:eastAsia="仿宋_GB2312"/>
                <w:bCs/>
                <w:szCs w:val="21"/>
              </w:rPr>
            </w:pPr>
            <w:r>
              <w:rPr>
                <w:rFonts w:hint="eastAsia" w:ascii="仿宋_GB2312" w:eastAsia="仿宋_GB2312"/>
                <w:bCs/>
                <w:szCs w:val="21"/>
              </w:rPr>
              <w:t>工期要求</w:t>
            </w:r>
          </w:p>
        </w:tc>
        <w:tc>
          <w:tcPr>
            <w:tcW w:w="3659" w:type="pct"/>
            <w:shd w:val="clear" w:color="auto" w:fill="auto"/>
            <w:vAlign w:val="center"/>
          </w:tcPr>
          <w:p>
            <w:pPr>
              <w:widowControl/>
              <w:jc w:val="left"/>
              <w:rPr>
                <w:rFonts w:ascii="仿宋_GB2312" w:eastAsia="仿宋_GB2312"/>
                <w:bCs/>
                <w:szCs w:val="21"/>
              </w:rPr>
            </w:pPr>
            <w:r>
              <w:rPr>
                <w:rFonts w:hint="eastAsia" w:ascii="仿宋_GB2312" w:eastAsia="仿宋_GB2312"/>
                <w:bCs/>
                <w:szCs w:val="21"/>
              </w:rPr>
              <w:t>壹年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490" w:type="pct"/>
            <w:shd w:val="clear" w:color="auto" w:fill="auto"/>
            <w:vAlign w:val="center"/>
          </w:tcPr>
          <w:p>
            <w:pPr>
              <w:numPr>
                <w:ilvl w:val="0"/>
                <w:numId w:val="2"/>
              </w:numPr>
              <w:tabs>
                <w:tab w:val="left" w:pos="72"/>
                <w:tab w:val="left" w:pos="130"/>
              </w:tabs>
              <w:snapToGrid w:val="0"/>
              <w:spacing w:line="360" w:lineRule="auto"/>
              <w:jc w:val="center"/>
              <w:rPr>
                <w:szCs w:val="21"/>
              </w:rPr>
            </w:pPr>
          </w:p>
        </w:tc>
        <w:tc>
          <w:tcPr>
            <w:tcW w:w="851" w:type="pct"/>
            <w:shd w:val="clear" w:color="auto" w:fill="auto"/>
            <w:vAlign w:val="center"/>
          </w:tcPr>
          <w:p>
            <w:pPr>
              <w:widowControl/>
              <w:jc w:val="left"/>
              <w:rPr>
                <w:rFonts w:ascii="仿宋_GB2312" w:eastAsia="仿宋_GB2312"/>
                <w:bCs/>
                <w:szCs w:val="21"/>
              </w:rPr>
            </w:pPr>
            <w:r>
              <w:rPr>
                <w:rFonts w:hint="eastAsia" w:ascii="仿宋_GB2312" w:eastAsia="仿宋_GB2312"/>
                <w:bCs/>
                <w:szCs w:val="21"/>
              </w:rPr>
              <w:t>实施地点</w:t>
            </w:r>
          </w:p>
        </w:tc>
        <w:tc>
          <w:tcPr>
            <w:tcW w:w="3659" w:type="pct"/>
            <w:shd w:val="clear" w:color="auto" w:fill="auto"/>
            <w:vAlign w:val="center"/>
          </w:tcPr>
          <w:p>
            <w:pPr>
              <w:widowControl/>
              <w:jc w:val="left"/>
              <w:rPr>
                <w:rFonts w:ascii="仿宋_GB2312" w:eastAsia="仿宋_GB2312"/>
                <w:bCs/>
                <w:szCs w:val="21"/>
              </w:rPr>
            </w:pPr>
            <w:r>
              <w:rPr>
                <w:rFonts w:hint="eastAsia" w:ascii="仿宋_GB2312" w:eastAsia="仿宋_GB2312"/>
                <w:bCs/>
                <w:szCs w:val="21"/>
              </w:rPr>
              <w:t>甲方指定地点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490" w:type="pct"/>
            <w:vMerge w:val="restart"/>
            <w:shd w:val="clear" w:color="auto" w:fill="auto"/>
            <w:vAlign w:val="center"/>
          </w:tcPr>
          <w:p>
            <w:pPr>
              <w:numPr>
                <w:ilvl w:val="0"/>
                <w:numId w:val="2"/>
              </w:numPr>
              <w:tabs>
                <w:tab w:val="left" w:pos="72"/>
                <w:tab w:val="left" w:pos="130"/>
              </w:tabs>
              <w:snapToGrid w:val="0"/>
              <w:spacing w:line="360" w:lineRule="auto"/>
              <w:jc w:val="center"/>
              <w:rPr>
                <w:szCs w:val="21"/>
              </w:rPr>
            </w:pPr>
          </w:p>
        </w:tc>
        <w:tc>
          <w:tcPr>
            <w:tcW w:w="851" w:type="pct"/>
            <w:vMerge w:val="restart"/>
            <w:shd w:val="clear" w:color="auto" w:fill="auto"/>
            <w:vAlign w:val="center"/>
          </w:tcPr>
          <w:p>
            <w:pPr>
              <w:widowControl/>
              <w:jc w:val="left"/>
              <w:rPr>
                <w:rFonts w:ascii="仿宋_GB2312" w:eastAsia="仿宋_GB2312"/>
                <w:bCs/>
                <w:szCs w:val="21"/>
              </w:rPr>
            </w:pPr>
            <w:r>
              <w:rPr>
                <w:rFonts w:hint="eastAsia" w:ascii="仿宋_GB2312" w:eastAsia="仿宋_GB2312"/>
                <w:bCs/>
                <w:szCs w:val="21"/>
              </w:rPr>
              <w:t>报价要求</w:t>
            </w:r>
          </w:p>
        </w:tc>
        <w:tc>
          <w:tcPr>
            <w:tcW w:w="3659" w:type="pct"/>
            <w:shd w:val="clear" w:color="auto" w:fill="auto"/>
            <w:vAlign w:val="center"/>
          </w:tcPr>
          <w:p>
            <w:pPr>
              <w:widowControl/>
              <w:jc w:val="left"/>
              <w:rPr>
                <w:rFonts w:ascii="仿宋_GB2312" w:eastAsia="仿宋_GB2312"/>
                <w:bCs/>
                <w:szCs w:val="21"/>
              </w:rPr>
            </w:pPr>
            <w:r>
              <w:rPr>
                <w:rFonts w:hint="eastAsia" w:ascii="仿宋_GB2312" w:eastAsia="仿宋_GB2312"/>
                <w:bCs/>
                <w:szCs w:val="21"/>
              </w:rPr>
              <w:t>1．投标人的报价应包含为完成本招标文件提出的货物或服务等全部相关工作所有可能发生的费用，即投标总报价为“交钥匙”价。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490" w:type="pct"/>
            <w:vMerge w:val="continue"/>
            <w:shd w:val="clear" w:color="auto" w:fill="auto"/>
            <w:vAlign w:val="center"/>
          </w:tcPr>
          <w:p>
            <w:pPr>
              <w:numPr>
                <w:ilvl w:val="0"/>
                <w:numId w:val="2"/>
              </w:numPr>
              <w:tabs>
                <w:tab w:val="left" w:pos="72"/>
                <w:tab w:val="left" w:pos="130"/>
              </w:tabs>
              <w:snapToGrid w:val="0"/>
              <w:spacing w:line="360" w:lineRule="auto"/>
              <w:jc w:val="center"/>
              <w:rPr>
                <w:szCs w:val="21"/>
              </w:rPr>
            </w:pPr>
          </w:p>
        </w:tc>
        <w:tc>
          <w:tcPr>
            <w:tcW w:w="851" w:type="pct"/>
            <w:vMerge w:val="continue"/>
            <w:shd w:val="clear" w:color="auto" w:fill="auto"/>
            <w:vAlign w:val="center"/>
          </w:tcPr>
          <w:p>
            <w:pPr>
              <w:widowControl/>
              <w:jc w:val="left"/>
              <w:rPr>
                <w:rFonts w:ascii="仿宋_GB2312" w:eastAsia="仿宋_GB2312"/>
                <w:bCs/>
                <w:szCs w:val="21"/>
              </w:rPr>
            </w:pPr>
          </w:p>
        </w:tc>
        <w:tc>
          <w:tcPr>
            <w:tcW w:w="3659" w:type="pct"/>
            <w:shd w:val="clear" w:color="auto" w:fill="auto"/>
            <w:vAlign w:val="center"/>
          </w:tcPr>
          <w:p>
            <w:pPr>
              <w:widowControl/>
              <w:jc w:val="left"/>
              <w:rPr>
                <w:rFonts w:ascii="仿宋_GB2312" w:eastAsia="仿宋_GB2312"/>
                <w:bCs/>
                <w:szCs w:val="21"/>
              </w:rPr>
            </w:pPr>
            <w:r>
              <w:rPr>
                <w:rFonts w:hint="eastAsia" w:ascii="仿宋_GB2312" w:eastAsia="仿宋_GB2312"/>
                <w:bCs/>
                <w:szCs w:val="21"/>
              </w:rPr>
              <w:t>2．对本文件未列明，而投标人认为必需的费用也需列入投标总报价。在合同实施时，采购人将不予支付中标单位没有列入的项目费用，并认为此项目的费用已包含在投标总报价中。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490" w:type="pct"/>
            <w:vMerge w:val="restart"/>
            <w:shd w:val="clear" w:color="auto" w:fill="auto"/>
            <w:vAlign w:val="center"/>
          </w:tcPr>
          <w:p>
            <w:pPr>
              <w:numPr>
                <w:ilvl w:val="0"/>
                <w:numId w:val="2"/>
              </w:numPr>
              <w:tabs>
                <w:tab w:val="left" w:pos="72"/>
                <w:tab w:val="left" w:pos="130"/>
              </w:tabs>
              <w:snapToGrid w:val="0"/>
              <w:spacing w:line="360" w:lineRule="auto"/>
              <w:jc w:val="center"/>
              <w:rPr>
                <w:szCs w:val="21"/>
              </w:rPr>
            </w:pPr>
          </w:p>
        </w:tc>
        <w:tc>
          <w:tcPr>
            <w:tcW w:w="851" w:type="pct"/>
            <w:vMerge w:val="restart"/>
            <w:shd w:val="clear" w:color="auto" w:fill="auto"/>
            <w:vAlign w:val="center"/>
          </w:tcPr>
          <w:p>
            <w:pPr>
              <w:widowControl/>
              <w:jc w:val="left"/>
              <w:rPr>
                <w:rFonts w:ascii="仿宋_GB2312" w:eastAsia="仿宋_GB2312"/>
                <w:bCs/>
                <w:szCs w:val="21"/>
              </w:rPr>
            </w:pPr>
            <w:r>
              <w:rPr>
                <w:rFonts w:hint="eastAsia" w:ascii="仿宋_GB2312" w:eastAsia="仿宋_GB2312"/>
                <w:bCs/>
                <w:szCs w:val="21"/>
              </w:rPr>
              <w:t>售后服务和技术支持</w:t>
            </w:r>
          </w:p>
        </w:tc>
        <w:tc>
          <w:tcPr>
            <w:tcW w:w="3659" w:type="pct"/>
            <w:shd w:val="clear" w:color="auto" w:fill="auto"/>
            <w:vAlign w:val="center"/>
          </w:tcPr>
          <w:p>
            <w:pPr>
              <w:widowControl/>
              <w:jc w:val="left"/>
              <w:rPr>
                <w:rFonts w:ascii="仿宋_GB2312" w:eastAsia="仿宋_GB2312"/>
                <w:bCs/>
                <w:szCs w:val="21"/>
              </w:rPr>
            </w:pPr>
            <w:r>
              <w:rPr>
                <w:rFonts w:hint="eastAsia" w:ascii="仿宋_GB2312" w:eastAsia="仿宋_GB2312"/>
                <w:bCs/>
                <w:szCs w:val="21"/>
                <w:lang w:val="zh-CN"/>
              </w:rPr>
              <w:t>1．提供各类技术支持服务</w:t>
            </w:r>
            <w:r>
              <w:rPr>
                <w:rFonts w:ascii="仿宋_GB2312" w:eastAsia="仿宋_GB2312"/>
                <w:bCs/>
                <w:szCs w:val="21"/>
                <w:lang w:val="zh-CN"/>
              </w:rPr>
              <w:t>(包括电话技术支持和现场技术支持等)；成交供应商向采购人提供7×24小时热线电话服务，并通过多种形式实现技术咨询和故障报修；成交供应商向采购人提供系统操作使用说明书，并进行人员培训。故障响应时间10分钟，30分钟到达现场，2小时解决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490" w:type="pct"/>
            <w:vMerge w:val="continue"/>
            <w:shd w:val="clear" w:color="auto" w:fill="auto"/>
            <w:vAlign w:val="center"/>
          </w:tcPr>
          <w:p>
            <w:pPr>
              <w:numPr>
                <w:ilvl w:val="0"/>
                <w:numId w:val="2"/>
              </w:numPr>
              <w:tabs>
                <w:tab w:val="left" w:pos="72"/>
                <w:tab w:val="left" w:pos="130"/>
              </w:tabs>
              <w:snapToGrid w:val="0"/>
              <w:spacing w:line="360" w:lineRule="auto"/>
              <w:jc w:val="center"/>
              <w:rPr>
                <w:szCs w:val="21"/>
              </w:rPr>
            </w:pPr>
          </w:p>
        </w:tc>
        <w:tc>
          <w:tcPr>
            <w:tcW w:w="851" w:type="pct"/>
            <w:vMerge w:val="continue"/>
            <w:shd w:val="clear" w:color="auto" w:fill="auto"/>
            <w:vAlign w:val="center"/>
          </w:tcPr>
          <w:p>
            <w:pPr>
              <w:widowControl/>
              <w:jc w:val="left"/>
              <w:rPr>
                <w:rFonts w:ascii="仿宋_GB2312" w:eastAsia="仿宋_GB2312"/>
                <w:bCs/>
                <w:szCs w:val="21"/>
              </w:rPr>
            </w:pPr>
          </w:p>
        </w:tc>
        <w:tc>
          <w:tcPr>
            <w:tcW w:w="3659" w:type="pct"/>
            <w:shd w:val="clear" w:color="auto" w:fill="auto"/>
            <w:vAlign w:val="center"/>
          </w:tcPr>
          <w:p>
            <w:pPr>
              <w:widowControl/>
              <w:jc w:val="left"/>
              <w:rPr>
                <w:rFonts w:ascii="仿宋_GB2312" w:eastAsia="仿宋_GB2312"/>
                <w:bCs/>
                <w:szCs w:val="21"/>
                <w:lang w:val="zh-CN"/>
              </w:rPr>
            </w:pPr>
            <w:r>
              <w:rPr>
                <w:rFonts w:hint="eastAsia" w:ascii="仿宋_GB2312" w:eastAsia="仿宋_GB2312"/>
                <w:bCs/>
                <w:szCs w:val="21"/>
              </w:rPr>
              <w:t>2提供专业的售后服务，针对每次服务，应向采购人提供维护确认单，经采购人签收，保证售后服务的专业性。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490" w:type="pct"/>
            <w:vMerge w:val="continue"/>
            <w:shd w:val="clear" w:color="auto" w:fill="auto"/>
            <w:vAlign w:val="center"/>
          </w:tcPr>
          <w:p>
            <w:pPr>
              <w:numPr>
                <w:ilvl w:val="0"/>
                <w:numId w:val="2"/>
              </w:numPr>
              <w:tabs>
                <w:tab w:val="left" w:pos="72"/>
                <w:tab w:val="left" w:pos="130"/>
              </w:tabs>
              <w:snapToGrid w:val="0"/>
              <w:spacing w:line="360" w:lineRule="auto"/>
              <w:jc w:val="center"/>
              <w:rPr>
                <w:szCs w:val="21"/>
              </w:rPr>
            </w:pPr>
          </w:p>
        </w:tc>
        <w:tc>
          <w:tcPr>
            <w:tcW w:w="851" w:type="pct"/>
            <w:vMerge w:val="continue"/>
            <w:shd w:val="clear" w:color="auto" w:fill="auto"/>
            <w:vAlign w:val="center"/>
          </w:tcPr>
          <w:p>
            <w:pPr>
              <w:widowControl/>
              <w:jc w:val="left"/>
              <w:rPr>
                <w:rFonts w:ascii="仿宋_GB2312" w:eastAsia="仿宋_GB2312"/>
                <w:bCs/>
                <w:szCs w:val="21"/>
              </w:rPr>
            </w:pPr>
          </w:p>
        </w:tc>
        <w:tc>
          <w:tcPr>
            <w:tcW w:w="3659" w:type="pct"/>
            <w:shd w:val="clear" w:color="auto" w:fill="auto"/>
            <w:vAlign w:val="center"/>
          </w:tcPr>
          <w:p>
            <w:pPr>
              <w:widowControl/>
              <w:jc w:val="left"/>
              <w:rPr>
                <w:rFonts w:ascii="仿宋_GB2312" w:eastAsia="仿宋_GB2312"/>
                <w:bCs/>
                <w:szCs w:val="21"/>
                <w:lang w:val="zh-CN"/>
              </w:rPr>
            </w:pPr>
            <w:r>
              <w:rPr>
                <w:rFonts w:hint="eastAsia" w:ascii="仿宋_GB2312" w:eastAsia="仿宋_GB2312"/>
                <w:bCs/>
                <w:szCs w:val="21"/>
              </w:rPr>
              <w:t>3.</w:t>
            </w:r>
            <w:r>
              <w:rPr>
                <w:rFonts w:hint="eastAsia" w:ascii="仿宋_GB2312" w:eastAsia="仿宋_GB2312"/>
                <w:bCs/>
                <w:szCs w:val="21"/>
                <w:lang w:val="zh-CN"/>
              </w:rPr>
              <w:t>需每月定期为采购人提供上月的线路运行报告，运行报告的格式和内容由供应商提供模版，双方讨论确定。定期回访，就使用情况进</w:t>
            </w:r>
          </w:p>
          <w:p>
            <w:pPr>
              <w:widowControl/>
              <w:jc w:val="left"/>
              <w:rPr>
                <w:rFonts w:ascii="仿宋_GB2312" w:eastAsia="仿宋_GB2312"/>
                <w:bCs/>
                <w:szCs w:val="21"/>
                <w:lang w:val="zh-CN"/>
              </w:rPr>
            </w:pPr>
            <w:r>
              <w:rPr>
                <w:rFonts w:hint="eastAsia" w:ascii="仿宋_GB2312" w:eastAsia="仿宋_GB2312"/>
                <w:bCs/>
                <w:szCs w:val="21"/>
                <w:lang w:val="zh-CN"/>
              </w:rPr>
              <w:t>行定期检查，便于及时发现故障以及隐患。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490" w:type="pct"/>
            <w:vMerge w:val="continue"/>
            <w:shd w:val="clear" w:color="auto" w:fill="auto"/>
            <w:vAlign w:val="center"/>
          </w:tcPr>
          <w:p>
            <w:pPr>
              <w:numPr>
                <w:ilvl w:val="0"/>
                <w:numId w:val="2"/>
              </w:numPr>
              <w:tabs>
                <w:tab w:val="left" w:pos="72"/>
                <w:tab w:val="left" w:pos="130"/>
              </w:tabs>
              <w:snapToGrid w:val="0"/>
              <w:spacing w:line="360" w:lineRule="auto"/>
              <w:jc w:val="center"/>
              <w:rPr>
                <w:szCs w:val="21"/>
              </w:rPr>
            </w:pPr>
          </w:p>
        </w:tc>
        <w:tc>
          <w:tcPr>
            <w:tcW w:w="851" w:type="pct"/>
            <w:vMerge w:val="continue"/>
            <w:shd w:val="clear" w:color="auto" w:fill="auto"/>
            <w:vAlign w:val="center"/>
          </w:tcPr>
          <w:p>
            <w:pPr>
              <w:widowControl/>
              <w:jc w:val="left"/>
              <w:rPr>
                <w:rFonts w:ascii="仿宋_GB2312" w:eastAsia="仿宋_GB2312"/>
                <w:bCs/>
                <w:szCs w:val="21"/>
              </w:rPr>
            </w:pPr>
          </w:p>
        </w:tc>
        <w:tc>
          <w:tcPr>
            <w:tcW w:w="3659" w:type="pct"/>
            <w:shd w:val="clear" w:color="auto" w:fill="auto"/>
            <w:vAlign w:val="center"/>
          </w:tcPr>
          <w:p>
            <w:pPr>
              <w:widowControl/>
              <w:jc w:val="left"/>
              <w:rPr>
                <w:rFonts w:ascii="仿宋_GB2312" w:eastAsia="仿宋_GB2312"/>
                <w:bCs/>
                <w:szCs w:val="21"/>
                <w:lang w:val="zh-CN"/>
              </w:rPr>
            </w:pPr>
            <w:r>
              <w:rPr>
                <w:rFonts w:hint="eastAsia" w:ascii="仿宋_GB2312" w:eastAsia="仿宋_GB2312"/>
                <w:bCs/>
                <w:szCs w:val="21"/>
              </w:rPr>
              <w:t>4.线路租赁期内，采购人若发生重大事件或任务，供应商承诺应按采购人要求免费提供现场线路技术保障工作。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490" w:type="pct"/>
            <w:vMerge w:val="restart"/>
            <w:shd w:val="clear" w:color="auto" w:fill="auto"/>
            <w:vAlign w:val="center"/>
          </w:tcPr>
          <w:p>
            <w:pPr>
              <w:numPr>
                <w:ilvl w:val="0"/>
                <w:numId w:val="2"/>
              </w:numPr>
              <w:tabs>
                <w:tab w:val="left" w:pos="72"/>
                <w:tab w:val="left" w:pos="130"/>
              </w:tabs>
              <w:snapToGrid w:val="0"/>
              <w:spacing w:line="360" w:lineRule="auto"/>
              <w:jc w:val="center"/>
              <w:rPr>
                <w:szCs w:val="21"/>
              </w:rPr>
            </w:pPr>
          </w:p>
        </w:tc>
        <w:tc>
          <w:tcPr>
            <w:tcW w:w="851" w:type="pct"/>
            <w:vMerge w:val="restart"/>
            <w:shd w:val="clear" w:color="auto" w:fill="auto"/>
            <w:vAlign w:val="center"/>
          </w:tcPr>
          <w:p>
            <w:pPr>
              <w:widowControl/>
              <w:jc w:val="left"/>
              <w:rPr>
                <w:rFonts w:ascii="仿宋_GB2312" w:eastAsia="仿宋_GB2312"/>
                <w:bCs/>
                <w:szCs w:val="21"/>
                <w:lang w:val="zh-CN"/>
              </w:rPr>
            </w:pPr>
            <w:r>
              <w:rPr>
                <w:rFonts w:hint="eastAsia" w:ascii="仿宋_GB2312" w:eastAsia="仿宋_GB2312"/>
                <w:bCs/>
                <w:szCs w:val="21"/>
                <w:lang w:val="zh-CN"/>
              </w:rPr>
              <w:t>付款方式</w:t>
            </w:r>
          </w:p>
        </w:tc>
        <w:tc>
          <w:tcPr>
            <w:tcW w:w="3659" w:type="pct"/>
            <w:shd w:val="clear" w:color="auto" w:fill="auto"/>
            <w:vAlign w:val="center"/>
          </w:tcPr>
          <w:p>
            <w:pPr>
              <w:widowControl/>
              <w:jc w:val="left"/>
              <w:rPr>
                <w:rFonts w:ascii="仿宋_GB2312" w:eastAsia="仿宋_GB2312"/>
                <w:bCs/>
                <w:szCs w:val="21"/>
                <w:lang w:val="zh-CN"/>
              </w:rPr>
            </w:pPr>
            <w:r>
              <w:rPr>
                <w:rFonts w:hint="eastAsia" w:ascii="仿宋_GB2312" w:eastAsia="仿宋_GB2312"/>
                <w:bCs/>
                <w:szCs w:val="21"/>
                <w:lang w:val="zh-CN"/>
              </w:rPr>
              <w:t>1.本项目无预付款，项目全部完成并经验收合格后，由采购单位根据湖北省财政厅相关规定办理财政支付手续。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490" w:type="pct"/>
            <w:vMerge w:val="continue"/>
            <w:shd w:val="clear" w:color="auto" w:fill="auto"/>
            <w:vAlign w:val="center"/>
          </w:tcPr>
          <w:p>
            <w:pPr>
              <w:numPr>
                <w:ilvl w:val="0"/>
                <w:numId w:val="2"/>
              </w:numPr>
              <w:tabs>
                <w:tab w:val="left" w:pos="72"/>
                <w:tab w:val="left" w:pos="130"/>
              </w:tabs>
              <w:snapToGrid w:val="0"/>
              <w:spacing w:line="360" w:lineRule="auto"/>
              <w:jc w:val="center"/>
              <w:rPr>
                <w:szCs w:val="21"/>
              </w:rPr>
            </w:pPr>
          </w:p>
        </w:tc>
        <w:tc>
          <w:tcPr>
            <w:tcW w:w="851" w:type="pct"/>
            <w:vMerge w:val="continue"/>
            <w:shd w:val="clear" w:color="auto" w:fill="auto"/>
            <w:vAlign w:val="center"/>
          </w:tcPr>
          <w:p>
            <w:pPr>
              <w:widowControl/>
              <w:jc w:val="left"/>
              <w:rPr>
                <w:rFonts w:ascii="仿宋_GB2312" w:eastAsia="仿宋_GB2312"/>
                <w:bCs/>
                <w:szCs w:val="21"/>
                <w:lang w:val="zh-CN"/>
              </w:rPr>
            </w:pPr>
          </w:p>
        </w:tc>
        <w:tc>
          <w:tcPr>
            <w:tcW w:w="3659" w:type="pct"/>
            <w:shd w:val="clear" w:color="auto" w:fill="auto"/>
            <w:vAlign w:val="center"/>
          </w:tcPr>
          <w:p>
            <w:pPr>
              <w:widowControl/>
              <w:jc w:val="left"/>
              <w:rPr>
                <w:rFonts w:ascii="仿宋_GB2312" w:eastAsia="仿宋_GB2312"/>
                <w:bCs/>
                <w:szCs w:val="21"/>
                <w:lang w:val="zh-CN"/>
              </w:rPr>
            </w:pPr>
            <w:r>
              <w:rPr>
                <w:rFonts w:hint="eastAsia" w:ascii="仿宋_GB2312" w:eastAsia="仿宋_GB2312"/>
                <w:bCs/>
                <w:szCs w:val="21"/>
              </w:rPr>
              <w:t>2.本项目款项支付方式按湖北省财政厅相关规定直接从国库支付，成交供应商认可采购人按约定的付款时间向湖北省财政厅提出了资金支付申请，则视同采购人已履行了合同付款义务。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490" w:type="pct"/>
            <w:shd w:val="clear" w:color="auto" w:fill="auto"/>
            <w:vAlign w:val="center"/>
          </w:tcPr>
          <w:p>
            <w:pPr>
              <w:numPr>
                <w:ilvl w:val="0"/>
                <w:numId w:val="2"/>
              </w:numPr>
              <w:tabs>
                <w:tab w:val="left" w:pos="72"/>
                <w:tab w:val="left" w:pos="130"/>
              </w:tabs>
              <w:snapToGrid w:val="0"/>
              <w:spacing w:line="360" w:lineRule="auto"/>
              <w:jc w:val="center"/>
              <w:rPr>
                <w:szCs w:val="21"/>
              </w:rPr>
            </w:pPr>
          </w:p>
        </w:tc>
        <w:tc>
          <w:tcPr>
            <w:tcW w:w="851" w:type="pct"/>
            <w:shd w:val="clear" w:color="auto" w:fill="auto"/>
            <w:vAlign w:val="center"/>
          </w:tcPr>
          <w:p>
            <w:pPr>
              <w:widowControl/>
              <w:jc w:val="left"/>
              <w:rPr>
                <w:rFonts w:ascii="仿宋_GB2312" w:eastAsia="仿宋_GB2312"/>
                <w:bCs/>
                <w:szCs w:val="21"/>
                <w:lang w:val="zh-CN"/>
              </w:rPr>
            </w:pPr>
            <w:r>
              <w:rPr>
                <w:rFonts w:hint="eastAsia" w:ascii="仿宋_GB2312" w:eastAsia="仿宋_GB2312"/>
                <w:bCs/>
                <w:szCs w:val="21"/>
                <w:lang w:val="zh-CN"/>
              </w:rPr>
              <w:t>保密</w:t>
            </w:r>
          </w:p>
        </w:tc>
        <w:tc>
          <w:tcPr>
            <w:tcW w:w="3659" w:type="pct"/>
            <w:shd w:val="clear" w:color="auto" w:fill="auto"/>
            <w:vAlign w:val="center"/>
          </w:tcPr>
          <w:p>
            <w:pPr>
              <w:widowControl/>
              <w:jc w:val="left"/>
              <w:rPr>
                <w:rFonts w:ascii="仿宋_GB2312" w:eastAsia="仿宋_GB2312"/>
                <w:bCs/>
                <w:szCs w:val="21"/>
                <w:lang w:val="zh-CN"/>
              </w:rPr>
            </w:pPr>
            <w:r>
              <w:rPr>
                <w:rFonts w:hint="eastAsia" w:ascii="仿宋_GB2312" w:eastAsia="仿宋_GB2312"/>
                <w:bCs/>
                <w:szCs w:val="21"/>
                <w:lang w:val="zh-CN"/>
              </w:rPr>
              <w:t>未经采购人书面许可，中标人及其工作人员不得擅自对相关数据和信息进行复制、备份或留底。</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等线">
    <w:panose1 w:val="02010600030101010101"/>
    <w:charset w:val="86"/>
    <w:family w:val="auto"/>
    <w:pitch w:val="default"/>
    <w:sig w:usb0="A00002BF" w:usb1="38CF7CFA" w:usb2="00000016" w:usb3="00000000" w:csb0="0004000F"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E643A6A"/>
    <w:multiLevelType w:val="multilevel"/>
    <w:tmpl w:val="0E643A6A"/>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EEA7C99"/>
    <w:multiLevelType w:val="multilevel"/>
    <w:tmpl w:val="2EEA7C99"/>
    <w:lvl w:ilvl="0" w:tentative="0">
      <w:start w:val="1"/>
      <w:numFmt w:val="decimal"/>
      <w:lvlText w:val="%1"/>
      <w:lvlJc w:val="center"/>
      <w:pPr>
        <w:ind w:left="420" w:hanging="420"/>
      </w:pPr>
      <w:rPr>
        <w:rFonts w:hint="eastAsia" w:ascii="宋体" w:hAnsi="宋体" w:eastAsia="宋体"/>
        <w:b w:val="0"/>
        <w:i w:val="0"/>
        <w:color w:val="auto"/>
        <w:sz w:val="24"/>
        <w:szCs w:val="24"/>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g5NDA5OGI2MzZjNDhmYjkzMGIzMGYyZTU1NzgxOTIifQ=="/>
  </w:docVars>
  <w:rsids>
    <w:rsidRoot w:val="00172A27"/>
    <w:rsid w:val="000B7463"/>
    <w:rsid w:val="001068DE"/>
    <w:rsid w:val="004C45BE"/>
    <w:rsid w:val="005857BD"/>
    <w:rsid w:val="006B749E"/>
    <w:rsid w:val="00713BBB"/>
    <w:rsid w:val="0076427D"/>
    <w:rsid w:val="00770BAA"/>
    <w:rsid w:val="00816D2C"/>
    <w:rsid w:val="00853700"/>
    <w:rsid w:val="009A6911"/>
    <w:rsid w:val="009C6504"/>
    <w:rsid w:val="00AD50E9"/>
    <w:rsid w:val="00B42E16"/>
    <w:rsid w:val="00B6787C"/>
    <w:rsid w:val="00D13869"/>
    <w:rsid w:val="00D965F2"/>
    <w:rsid w:val="00E86DDA"/>
    <w:rsid w:val="00EA35F8"/>
    <w:rsid w:val="00EC4C4D"/>
    <w:rsid w:val="72BB67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2"/>
    <w:basedOn w:val="1"/>
    <w:next w:val="1"/>
    <w:link w:val="9"/>
    <w:qFormat/>
    <w:uiPriority w:val="0"/>
    <w:pPr>
      <w:keepNext/>
      <w:keepLines/>
      <w:spacing w:before="260" w:after="260" w:line="416" w:lineRule="auto"/>
      <w:jc w:val="center"/>
      <w:outlineLvl w:val="1"/>
    </w:pPr>
    <w:rPr>
      <w:rFonts w:ascii="Arial" w:hAnsi="Arial" w:eastAsia="黑体"/>
      <w:b/>
      <w:sz w:val="44"/>
      <w:szCs w:val="20"/>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3">
    <w:name w:val="footer"/>
    <w:basedOn w:val="1"/>
    <w:link w:val="8"/>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7"/>
    <w:unhideWhenUsed/>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7">
    <w:name w:val="页眉 Char"/>
    <w:basedOn w:val="6"/>
    <w:link w:val="4"/>
    <w:uiPriority w:val="99"/>
    <w:rPr>
      <w:sz w:val="18"/>
      <w:szCs w:val="18"/>
    </w:rPr>
  </w:style>
  <w:style w:type="character" w:customStyle="1" w:styleId="8">
    <w:name w:val="页脚 Char"/>
    <w:basedOn w:val="6"/>
    <w:link w:val="3"/>
    <w:uiPriority w:val="99"/>
    <w:rPr>
      <w:sz w:val="18"/>
      <w:szCs w:val="18"/>
    </w:rPr>
  </w:style>
  <w:style w:type="character" w:customStyle="1" w:styleId="9">
    <w:name w:val="标题 2 Char"/>
    <w:basedOn w:val="6"/>
    <w:link w:val="2"/>
    <w:uiPriority w:val="0"/>
    <w:rPr>
      <w:rFonts w:ascii="Arial" w:hAnsi="Arial" w:eastAsia="黑体" w:cs="Times New Roman"/>
      <w:b/>
      <w:sz w:val="44"/>
      <w:szCs w:val="20"/>
    </w:rPr>
  </w:style>
  <w:style w:type="paragraph" w:customStyle="1" w:styleId="10">
    <w:name w:val="列出段落1"/>
    <w:basedOn w:val="1"/>
    <w:qFormat/>
    <w:uiPriority w:val="34"/>
    <w:pPr>
      <w:ind w:firstLine="420" w:firstLineChars="200"/>
    </w:pPr>
    <w:rPr>
      <w:rFonts w:ascii="等线" w:hAnsi="等线" w:eastAsia="等线"/>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3</Pages>
  <Words>320</Words>
  <Characters>1827</Characters>
  <Lines>15</Lines>
  <Paragraphs>4</Paragraphs>
  <TotalTime>10</TotalTime>
  <ScaleCrop>false</ScaleCrop>
  <LinksUpToDate>false</LinksUpToDate>
  <CharactersWithSpaces>2143</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2021-05-08T09:10:00Z</dcterms:created>
  <dc:creator>fhj</dc:creator>
  <cp:lastModifiedBy>Administrator</cp:lastModifiedBy>
  <dcterms:modified xsi:type="dcterms:W3CDTF">2023-08-21T02:41:19Z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EB5F6E2A4D464A3E9A86470C7A41AC99_12</vt:lpwstr>
  </property>
</Properties>
</file>