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bidi w:val="0"/>
        <w:rPr>
          <w:rFonts w:hint="eastAsia" w:ascii="黑体" w:hAnsi="黑体" w:eastAsia="黑体"/>
          <w:b w:val="0"/>
          <w:bCs/>
          <w:color w:val="auto"/>
          <w:sz w:val="32"/>
          <w:szCs w:val="32"/>
          <w:u w:val="none"/>
          <w:lang w:eastAsia="zh-CN"/>
        </w:rPr>
      </w:pPr>
      <w:r>
        <w:rPr>
          <w:rFonts w:hint="eastAsia" w:ascii="黑体" w:hAnsi="黑体" w:eastAsia="黑体"/>
          <w:b w:val="0"/>
          <w:bCs/>
          <w:color w:val="auto"/>
          <w:sz w:val="32"/>
          <w:szCs w:val="32"/>
          <w:u w:val="none"/>
          <w:lang w:eastAsia="zh-CN"/>
        </w:rPr>
        <w:t>丁字桥院区高低压配电设备维保清单</w:t>
      </w:r>
    </w:p>
    <w:p>
      <w:pPr>
        <w:rPr>
          <w:rFonts w:hint="eastAsia"/>
          <w:lang w:eastAsia="zh-CN"/>
        </w:rPr>
      </w:pPr>
    </w:p>
    <w:p>
      <w:pPr>
        <w:pStyle w:val="2"/>
        <w:bidi w:val="0"/>
        <w:rPr>
          <w:rFonts w:hint="eastAsia" w:ascii="黑体" w:hAnsi="黑体" w:eastAsia="黑体" w:cs="黑体"/>
          <w:b w:val="0"/>
          <w:bCs/>
          <w:sz w:val="32"/>
          <w:szCs w:val="32"/>
          <w:lang w:val="en-US" w:eastAsia="zh-CN"/>
        </w:rPr>
      </w:pPr>
      <w:r>
        <w:rPr>
          <w:rFonts w:hint="eastAsia" w:ascii="黑体" w:hAnsi="黑体" w:eastAsia="黑体"/>
          <w:b w:val="0"/>
          <w:bCs/>
          <w:color w:val="auto"/>
          <w:sz w:val="32"/>
          <w:szCs w:val="32"/>
        </w:rPr>
        <w:t>日常维护保养内容</w:t>
      </w:r>
      <w:r>
        <w:rPr>
          <w:rFonts w:hint="eastAsia" w:ascii="黑体" w:hAnsi="黑体" w:eastAsia="黑体" w:cs="黑体"/>
          <w:b w:val="0"/>
          <w:bCs/>
          <w:sz w:val="32"/>
          <w:szCs w:val="32"/>
          <w:lang w:val="en-US" w:eastAsia="zh-CN"/>
        </w:rPr>
        <w:t>（</w:t>
      </w:r>
      <w:r>
        <w:rPr>
          <w:rFonts w:hint="eastAsia" w:ascii="黑体" w:hAnsi="黑体" w:eastAsia="黑体" w:cs="黑体"/>
          <w:b w:val="0"/>
          <w:bCs/>
          <w:sz w:val="32"/>
          <w:szCs w:val="32"/>
          <w:u w:val="single"/>
          <w:lang w:val="en-US" w:eastAsia="zh-CN"/>
        </w:rPr>
        <w:t>每月一次</w:t>
      </w:r>
      <w:r>
        <w:rPr>
          <w:rFonts w:hint="eastAsia" w:ascii="黑体" w:hAnsi="黑体" w:eastAsia="黑体" w:cs="黑体"/>
          <w:b w:val="0"/>
          <w:bCs/>
          <w:sz w:val="32"/>
          <w:szCs w:val="32"/>
          <w:lang w:val="en-US" w:eastAsia="zh-CN"/>
        </w:rPr>
        <w:t>）</w:t>
      </w:r>
    </w:p>
    <w:tbl>
      <w:tblPr>
        <w:tblStyle w:val="6"/>
        <w:tblW w:w="54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979"/>
        <w:gridCol w:w="2894"/>
        <w:gridCol w:w="1426"/>
        <w:gridCol w:w="1153"/>
        <w:gridCol w:w="11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blHeader/>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黑体" w:hAnsi="黑体" w:eastAsia="黑体" w:cs="黑体"/>
                <w:b/>
                <w:bCs/>
                <w:sz w:val="21"/>
                <w:szCs w:val="21"/>
                <w:lang w:val="en-US" w:eastAsia="zh-CN"/>
              </w:rPr>
            </w:pPr>
            <w:r>
              <w:rPr>
                <w:rFonts w:hint="eastAsia" w:ascii="黑体" w:hAnsi="黑体" w:eastAsia="黑体" w:cs="黑体"/>
                <w:b/>
                <w:bCs/>
                <w:sz w:val="21"/>
                <w:szCs w:val="21"/>
                <w:lang w:val="en-US" w:eastAsia="zh-CN"/>
              </w:rPr>
              <w:t>序号</w:t>
            </w: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黑体" w:hAnsi="黑体" w:eastAsia="黑体" w:cs="黑体"/>
                <w:b/>
                <w:bCs/>
                <w:sz w:val="21"/>
                <w:szCs w:val="21"/>
                <w:lang w:val="en-US" w:eastAsia="zh-CN"/>
              </w:rPr>
            </w:pPr>
            <w:r>
              <w:rPr>
                <w:rFonts w:hint="eastAsia" w:ascii="黑体" w:hAnsi="黑体" w:eastAsia="黑体" w:cs="黑体"/>
                <w:b/>
                <w:bCs/>
                <w:sz w:val="21"/>
                <w:szCs w:val="21"/>
                <w:lang w:val="en-US" w:eastAsia="zh-CN"/>
              </w:rPr>
              <w:t>名称</w:t>
            </w:r>
          </w:p>
        </w:tc>
        <w:tc>
          <w:tcPr>
            <w:tcW w:w="1544"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黑体" w:hAnsi="黑体" w:eastAsia="黑体" w:cs="黑体"/>
                <w:b/>
                <w:bCs/>
                <w:sz w:val="21"/>
                <w:szCs w:val="21"/>
                <w:lang w:val="en-US" w:eastAsia="zh-CN"/>
              </w:rPr>
            </w:pPr>
            <w:r>
              <w:rPr>
                <w:rFonts w:hint="eastAsia" w:ascii="黑体" w:hAnsi="黑体" w:eastAsia="黑体" w:cs="黑体"/>
                <w:b/>
                <w:bCs/>
                <w:sz w:val="21"/>
                <w:szCs w:val="21"/>
                <w:lang w:val="en-US" w:eastAsia="zh-CN"/>
              </w:rPr>
              <w:t>维护保养内容</w:t>
            </w:r>
          </w:p>
        </w:tc>
        <w:tc>
          <w:tcPr>
            <w:tcW w:w="760"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黑体" w:hAnsi="黑体" w:eastAsia="黑体" w:cs="黑体"/>
                <w:b/>
                <w:bCs/>
                <w:sz w:val="21"/>
                <w:szCs w:val="21"/>
                <w:lang w:val="en-US" w:eastAsia="zh-CN"/>
              </w:rPr>
            </w:pPr>
            <w:r>
              <w:rPr>
                <w:rFonts w:hint="eastAsia" w:ascii="黑体" w:hAnsi="黑体" w:eastAsia="黑体" w:cs="黑体"/>
                <w:b/>
                <w:bCs/>
                <w:sz w:val="21"/>
                <w:szCs w:val="21"/>
                <w:lang w:val="en-US" w:eastAsia="zh-CN"/>
              </w:rPr>
              <w:t>维护保养标准及要求</w:t>
            </w: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黑体" w:hAnsi="黑体" w:eastAsia="黑体" w:cs="黑体"/>
                <w:b/>
                <w:bCs/>
                <w:sz w:val="21"/>
                <w:szCs w:val="21"/>
                <w:lang w:val="en-US" w:eastAsia="zh-CN"/>
              </w:rPr>
            </w:pPr>
            <w:r>
              <w:rPr>
                <w:rFonts w:hint="eastAsia" w:ascii="黑体" w:hAnsi="黑体" w:eastAsia="黑体" w:cs="黑体"/>
                <w:b/>
                <w:bCs/>
                <w:sz w:val="21"/>
                <w:szCs w:val="21"/>
                <w:lang w:val="en-US" w:eastAsia="zh-CN"/>
              </w:rPr>
              <w:t>是否完成</w:t>
            </w: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黑体" w:hAnsi="黑体" w:eastAsia="黑体" w:cs="黑体"/>
                <w:b/>
                <w:bCs/>
                <w:sz w:val="21"/>
                <w:szCs w:val="21"/>
                <w:lang w:val="en-US" w:eastAsia="zh-CN"/>
              </w:rPr>
            </w:pPr>
            <w:r>
              <w:rPr>
                <w:rFonts w:hint="eastAsia" w:ascii="黑体" w:hAnsi="黑体" w:eastAsia="黑体" w:cs="黑体"/>
                <w:b/>
                <w:bCs/>
                <w:sz w:val="21"/>
                <w:szCs w:val="21"/>
                <w:lang w:val="en-US" w:eastAsia="zh-CN"/>
              </w:rPr>
              <w:t>是否配件更换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5000" w:type="pct"/>
            <w:gridSpan w:val="6"/>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b w:val="0"/>
                <w:bCs/>
                <w:sz w:val="21"/>
                <w:szCs w:val="21"/>
                <w:lang w:val="en-US" w:eastAsia="zh-CN"/>
              </w:rPr>
            </w:pPr>
            <w:r>
              <w:rPr>
                <w:rFonts w:hint="eastAsia" w:ascii="宋体" w:hAnsi="宋体" w:eastAsia="宋体" w:cs="宋体"/>
                <w:b/>
                <w:bCs w:val="0"/>
                <w:sz w:val="21"/>
                <w:szCs w:val="21"/>
                <w:lang w:val="en-US" w:eastAsia="zh-CN"/>
              </w:rPr>
              <w:t>高压柜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1055" w:type="pct"/>
            <w:vAlign w:val="center"/>
          </w:tcPr>
          <w:p>
            <w:pPr>
              <w:spacing w:line="360" w:lineRule="auto"/>
              <w:ind w:right="126" w:rightChars="60"/>
              <w:jc w:val="both"/>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高压多功能进线柜</w:t>
            </w:r>
          </w:p>
        </w:tc>
        <w:tc>
          <w:tcPr>
            <w:tcW w:w="1544" w:type="pct"/>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1.高压柜外观检查；</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2.柜内标示牌是否完善；</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3.柜内、外是否有积尘；</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4.柜面指示灯是否正常；</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5.电流表显示是否正常；</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6.电压表显示是否正常；</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7.来电显示器显示是否正常；</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8.柜内二次回路各类端子是否紧固正常；</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9.隔观察窗观察母排是否有烧蚀现象；</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10.隔观察窗观察断路器是否有烧蚀现象；</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11.隔观察窗观察绝缘子是否有烧蚀现象。</w:t>
            </w:r>
          </w:p>
        </w:tc>
        <w:tc>
          <w:tcPr>
            <w:tcW w:w="760" w:type="pct"/>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无国家标准</w:t>
            </w: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w:t>
            </w:r>
          </w:p>
        </w:tc>
        <w:tc>
          <w:tcPr>
            <w:tcW w:w="1055" w:type="pct"/>
            <w:vAlign w:val="center"/>
          </w:tcPr>
          <w:p>
            <w:pPr>
              <w:spacing w:line="360" w:lineRule="auto"/>
              <w:ind w:right="126" w:rightChars="60"/>
              <w:jc w:val="both"/>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高压多功能计量控制柜</w:t>
            </w:r>
          </w:p>
        </w:tc>
        <w:tc>
          <w:tcPr>
            <w:tcW w:w="1544"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w:t>
            </w:r>
          </w:p>
        </w:tc>
        <w:tc>
          <w:tcPr>
            <w:tcW w:w="1055" w:type="pct"/>
            <w:vAlign w:val="center"/>
          </w:tcPr>
          <w:p>
            <w:pPr>
              <w:spacing w:line="360" w:lineRule="auto"/>
              <w:ind w:right="126" w:rightChars="60"/>
              <w:jc w:val="both"/>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1#高压柜</w:t>
            </w:r>
          </w:p>
        </w:tc>
        <w:tc>
          <w:tcPr>
            <w:tcW w:w="1544"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w:t>
            </w:r>
          </w:p>
        </w:tc>
        <w:tc>
          <w:tcPr>
            <w:tcW w:w="1055" w:type="pct"/>
            <w:vAlign w:val="top"/>
          </w:tcPr>
          <w:p>
            <w:pPr>
              <w:spacing w:line="360" w:lineRule="auto"/>
              <w:ind w:right="126" w:rightChars="60"/>
              <w:jc w:val="both"/>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2#高压柜</w:t>
            </w:r>
          </w:p>
        </w:tc>
        <w:tc>
          <w:tcPr>
            <w:tcW w:w="1544"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w:t>
            </w:r>
          </w:p>
        </w:tc>
        <w:tc>
          <w:tcPr>
            <w:tcW w:w="1055" w:type="pct"/>
            <w:vAlign w:val="top"/>
          </w:tcPr>
          <w:p>
            <w:pPr>
              <w:spacing w:line="360" w:lineRule="auto"/>
              <w:ind w:right="126" w:rightChars="60"/>
              <w:jc w:val="both"/>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3#高压柜</w:t>
            </w:r>
          </w:p>
        </w:tc>
        <w:tc>
          <w:tcPr>
            <w:tcW w:w="1544"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w:t>
            </w:r>
          </w:p>
        </w:tc>
        <w:tc>
          <w:tcPr>
            <w:tcW w:w="1055" w:type="pct"/>
            <w:vAlign w:val="top"/>
          </w:tcPr>
          <w:p>
            <w:pPr>
              <w:spacing w:line="360" w:lineRule="auto"/>
              <w:ind w:right="126" w:rightChars="60"/>
              <w:jc w:val="both"/>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4#高压柜</w:t>
            </w:r>
          </w:p>
        </w:tc>
        <w:tc>
          <w:tcPr>
            <w:tcW w:w="1544"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1055" w:type="pct"/>
            <w:vAlign w:val="top"/>
          </w:tcPr>
          <w:p>
            <w:pPr>
              <w:spacing w:line="360" w:lineRule="auto"/>
              <w:ind w:right="126" w:rightChars="60"/>
              <w:jc w:val="both"/>
              <w:rPr>
                <w:rFonts w:hint="eastAsia" w:ascii="宋体" w:hAnsi="宋体" w:eastAsia="宋体" w:cs="宋体"/>
                <w:sz w:val="21"/>
                <w:szCs w:val="21"/>
                <w:lang w:val="en-US" w:eastAsia="zh-CN"/>
              </w:rPr>
            </w:pPr>
          </w:p>
        </w:tc>
        <w:tc>
          <w:tcPr>
            <w:tcW w:w="1544"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p>
        </w:tc>
        <w:tc>
          <w:tcPr>
            <w:tcW w:w="1544"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p>
        </w:tc>
        <w:tc>
          <w:tcPr>
            <w:tcW w:w="1544"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p>
        </w:tc>
        <w:tc>
          <w:tcPr>
            <w:tcW w:w="1544"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5000" w:type="pct"/>
            <w:gridSpan w:val="6"/>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b w:val="0"/>
                <w:bCs/>
                <w:sz w:val="21"/>
                <w:szCs w:val="21"/>
                <w:lang w:val="en-US" w:eastAsia="zh-CN"/>
              </w:rPr>
            </w:pPr>
            <w:r>
              <w:rPr>
                <w:rFonts w:hint="eastAsia" w:ascii="宋体" w:hAnsi="宋体" w:eastAsia="宋体" w:cs="宋体"/>
                <w:b/>
                <w:bCs w:val="0"/>
                <w:sz w:val="21"/>
                <w:szCs w:val="21"/>
                <w:lang w:val="en-US" w:eastAsia="zh-CN"/>
              </w:rPr>
              <w:t>变压器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1</w:t>
            </w: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pacing w:val="-6"/>
                <w:sz w:val="21"/>
                <w:szCs w:val="21"/>
                <w:lang w:val="en-US" w:eastAsia="zh-CN"/>
              </w:rPr>
              <w:t>1#变压器630</w:t>
            </w:r>
            <w:r>
              <w:rPr>
                <w:rFonts w:hint="eastAsia"/>
                <w:b w:val="0"/>
                <w:bCs/>
                <w:sz w:val="21"/>
                <w:szCs w:val="21"/>
                <w:lang w:val="en-US" w:eastAsia="zh-CN"/>
              </w:rPr>
              <w:t>KVA</w:t>
            </w:r>
          </w:p>
        </w:tc>
        <w:tc>
          <w:tcPr>
            <w:tcW w:w="1544"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1.检查变压器的套管、绕组树脂绝缘外表层是否清洁、有无爬电痕迹和碳化现象；</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2.变压器高低压套管引线接地紧密无发热，并无裂纹及放电现象；</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3.检查紧固件、连接件、导电零件及其它零件有无生锈、腐蚀的痕迹及导电零件接触是否良好；</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4.检查电缆和母线有无异常；</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5.检查风冷系统的温度箱中电气设备运行是否正常及信号系统有无异常；</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6.在遮栏外细听变压器的声音，判断有无异常及运行是否正常；</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7.检查变压器底座、栏杆、变压器室电缆接地线等接地是否可靠良好；</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8.用温度检查仪检查接触器部位及外壳温度有无超标现象。</w:t>
            </w:r>
          </w:p>
        </w:tc>
        <w:tc>
          <w:tcPr>
            <w:tcW w:w="760"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无国家标准</w:t>
            </w: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5000" w:type="pct"/>
            <w:gridSpan w:val="6"/>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b w:val="0"/>
                <w:bCs/>
                <w:sz w:val="21"/>
                <w:szCs w:val="21"/>
                <w:lang w:val="en-US" w:eastAsia="zh-CN"/>
              </w:rPr>
            </w:pPr>
            <w:r>
              <w:rPr>
                <w:rFonts w:hint="eastAsia" w:ascii="宋体" w:hAnsi="宋体" w:eastAsia="宋体" w:cs="宋体"/>
                <w:b/>
                <w:bCs w:val="0"/>
                <w:sz w:val="21"/>
                <w:szCs w:val="21"/>
                <w:lang w:val="en-US" w:eastAsia="zh-CN"/>
              </w:rPr>
              <w:t>低压电气设备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1</w:t>
            </w: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pacing w:val="-6"/>
                <w:sz w:val="21"/>
                <w:szCs w:val="21"/>
                <w:lang w:val="en-US" w:eastAsia="zh-CN"/>
              </w:rPr>
              <w:t>1#低压进线柜</w:t>
            </w:r>
          </w:p>
        </w:tc>
        <w:tc>
          <w:tcPr>
            <w:tcW w:w="1544" w:type="pct"/>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1.隔离刀闸是否有烧蚀现象；</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2.柜内标示牌是否完善；</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3.三相电压显示是否正常；</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4.电流显示是否正常；</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5.观察母排是否有烧蚀现象；</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6.观察断路器是否有烧蚀现象；</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7.观察绝缘子是否有烧蚀现象。</w:t>
            </w:r>
          </w:p>
        </w:tc>
        <w:tc>
          <w:tcPr>
            <w:tcW w:w="760" w:type="pct"/>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无国家标准</w:t>
            </w: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2</w:t>
            </w:r>
          </w:p>
        </w:tc>
        <w:tc>
          <w:tcPr>
            <w:tcW w:w="1055" w:type="pct"/>
            <w:vAlign w:val="center"/>
          </w:tcPr>
          <w:p>
            <w:pPr>
              <w:spacing w:line="360" w:lineRule="exact"/>
              <w:ind w:right="126" w:rightChars="60"/>
              <w:jc w:val="left"/>
              <w:rPr>
                <w:rFonts w:hint="eastAsia" w:ascii="宋体" w:hAnsi="宋体" w:eastAsia="宋体" w:cs="宋体"/>
                <w:kern w:val="2"/>
                <w:sz w:val="21"/>
                <w:szCs w:val="21"/>
                <w:lang w:val="en-US" w:eastAsia="zh-CN" w:bidi="ar-SA"/>
              </w:rPr>
            </w:pPr>
            <w:r>
              <w:rPr>
                <w:rFonts w:hint="eastAsia" w:ascii="宋体" w:hAnsi="宋体" w:eastAsia="宋体" w:cs="宋体"/>
                <w:spacing w:val="-6"/>
                <w:sz w:val="21"/>
                <w:szCs w:val="21"/>
                <w:lang w:val="en-US" w:eastAsia="zh-CN"/>
              </w:rPr>
              <w:t>2#低压补偿柜</w:t>
            </w:r>
          </w:p>
        </w:tc>
        <w:tc>
          <w:tcPr>
            <w:tcW w:w="1544" w:type="pct"/>
            <w:vMerge w:val="continue"/>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Merge w:val="continue"/>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3</w:t>
            </w:r>
          </w:p>
        </w:tc>
        <w:tc>
          <w:tcPr>
            <w:tcW w:w="1055" w:type="pct"/>
            <w:vAlign w:val="center"/>
          </w:tcPr>
          <w:p>
            <w:pPr>
              <w:spacing w:line="360" w:lineRule="exact"/>
              <w:ind w:right="126" w:rightChars="60"/>
              <w:jc w:val="left"/>
              <w:rPr>
                <w:rFonts w:hint="eastAsia" w:ascii="宋体" w:hAnsi="宋体" w:eastAsia="宋体" w:cs="宋体"/>
                <w:kern w:val="2"/>
                <w:sz w:val="21"/>
                <w:szCs w:val="21"/>
                <w:lang w:val="en-US" w:eastAsia="zh-CN" w:bidi="ar-SA"/>
              </w:rPr>
            </w:pPr>
            <w:r>
              <w:rPr>
                <w:rFonts w:hint="eastAsia" w:ascii="宋体" w:hAnsi="宋体" w:eastAsia="宋体" w:cs="宋体"/>
                <w:spacing w:val="-6"/>
                <w:sz w:val="21"/>
                <w:szCs w:val="21"/>
                <w:lang w:val="en-US" w:eastAsia="zh-CN"/>
              </w:rPr>
              <w:t>3低压#出线柜</w:t>
            </w:r>
          </w:p>
        </w:tc>
        <w:tc>
          <w:tcPr>
            <w:tcW w:w="1544" w:type="pct"/>
            <w:vMerge w:val="continue"/>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Merge w:val="continue"/>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4</w:t>
            </w:r>
          </w:p>
        </w:tc>
        <w:tc>
          <w:tcPr>
            <w:tcW w:w="1055" w:type="pct"/>
            <w:vAlign w:val="center"/>
          </w:tcPr>
          <w:p>
            <w:pPr>
              <w:spacing w:line="360" w:lineRule="exact"/>
              <w:ind w:right="126" w:rightChars="60"/>
              <w:jc w:val="left"/>
              <w:rPr>
                <w:rFonts w:hint="eastAsia" w:ascii="宋体" w:hAnsi="宋体" w:eastAsia="宋体" w:cs="宋体"/>
                <w:kern w:val="2"/>
                <w:sz w:val="21"/>
                <w:szCs w:val="21"/>
                <w:lang w:val="en-US" w:eastAsia="zh-CN" w:bidi="ar-SA"/>
              </w:rPr>
            </w:pPr>
            <w:r>
              <w:rPr>
                <w:rFonts w:hint="eastAsia" w:ascii="宋体" w:hAnsi="宋体" w:eastAsia="宋体" w:cs="宋体"/>
                <w:spacing w:val="-6"/>
                <w:sz w:val="21"/>
                <w:szCs w:val="21"/>
                <w:lang w:val="en-US" w:eastAsia="zh-CN"/>
              </w:rPr>
              <w:t>4#低压出线柜</w:t>
            </w:r>
          </w:p>
        </w:tc>
        <w:tc>
          <w:tcPr>
            <w:tcW w:w="1544" w:type="pct"/>
            <w:vMerge w:val="continue"/>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Merge w:val="continue"/>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5</w:t>
            </w:r>
          </w:p>
        </w:tc>
        <w:tc>
          <w:tcPr>
            <w:tcW w:w="1055" w:type="pct"/>
            <w:vAlign w:val="center"/>
          </w:tcPr>
          <w:p>
            <w:pPr>
              <w:spacing w:line="360" w:lineRule="exact"/>
              <w:ind w:right="126" w:rightChars="60"/>
              <w:jc w:val="left"/>
              <w:rPr>
                <w:rFonts w:hint="eastAsia" w:ascii="宋体" w:hAnsi="宋体" w:eastAsia="宋体" w:cs="宋体"/>
                <w:kern w:val="2"/>
                <w:sz w:val="21"/>
                <w:szCs w:val="21"/>
                <w:lang w:val="en-US" w:eastAsia="zh-CN" w:bidi="ar-SA"/>
              </w:rPr>
            </w:pPr>
            <w:r>
              <w:rPr>
                <w:rFonts w:hint="eastAsia" w:ascii="宋体" w:hAnsi="宋体" w:eastAsia="宋体" w:cs="宋体"/>
                <w:spacing w:val="-6"/>
                <w:sz w:val="21"/>
                <w:szCs w:val="21"/>
                <w:lang w:val="en-US" w:eastAsia="zh-CN"/>
              </w:rPr>
              <w:t>5#低压出线柜</w:t>
            </w:r>
          </w:p>
        </w:tc>
        <w:tc>
          <w:tcPr>
            <w:tcW w:w="1544" w:type="pct"/>
            <w:vMerge w:val="continue"/>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Merge w:val="continue"/>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6</w:t>
            </w:r>
          </w:p>
        </w:tc>
        <w:tc>
          <w:tcPr>
            <w:tcW w:w="1055" w:type="pct"/>
            <w:vAlign w:val="center"/>
          </w:tcPr>
          <w:p>
            <w:pPr>
              <w:spacing w:line="360" w:lineRule="exact"/>
              <w:ind w:right="126" w:rightChars="60"/>
              <w:jc w:val="left"/>
              <w:rPr>
                <w:rFonts w:hint="eastAsia" w:ascii="宋体" w:hAnsi="宋体" w:eastAsia="宋体" w:cs="宋体"/>
                <w:kern w:val="2"/>
                <w:sz w:val="21"/>
                <w:szCs w:val="21"/>
                <w:lang w:val="en-US" w:eastAsia="zh-CN" w:bidi="ar-SA"/>
              </w:rPr>
            </w:pPr>
            <w:r>
              <w:rPr>
                <w:rFonts w:hint="eastAsia" w:ascii="宋体" w:hAnsi="宋体" w:eastAsia="宋体" w:cs="宋体"/>
                <w:spacing w:val="-6"/>
                <w:sz w:val="21"/>
                <w:szCs w:val="21"/>
                <w:lang w:val="en-US" w:eastAsia="zh-CN"/>
              </w:rPr>
              <w:t>6#低压出线柜</w:t>
            </w:r>
          </w:p>
        </w:tc>
        <w:tc>
          <w:tcPr>
            <w:tcW w:w="1544" w:type="pct"/>
            <w:vMerge w:val="continue"/>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Merge w:val="continue"/>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7</w:t>
            </w:r>
          </w:p>
        </w:tc>
        <w:tc>
          <w:tcPr>
            <w:tcW w:w="1055" w:type="pct"/>
            <w:vAlign w:val="center"/>
          </w:tcPr>
          <w:p>
            <w:pPr>
              <w:spacing w:line="360" w:lineRule="exact"/>
              <w:ind w:right="126" w:rightChars="60"/>
              <w:jc w:val="left"/>
              <w:rPr>
                <w:rFonts w:hint="eastAsia" w:ascii="宋体" w:hAnsi="宋体" w:eastAsia="宋体" w:cs="宋体"/>
                <w:kern w:val="2"/>
                <w:sz w:val="21"/>
                <w:szCs w:val="21"/>
                <w:lang w:val="en-US" w:eastAsia="zh-CN" w:bidi="ar-SA"/>
              </w:rPr>
            </w:pPr>
            <w:r>
              <w:rPr>
                <w:rFonts w:hint="eastAsia" w:ascii="宋体" w:hAnsi="宋体" w:eastAsia="宋体" w:cs="宋体"/>
                <w:spacing w:val="-6"/>
                <w:sz w:val="21"/>
                <w:szCs w:val="21"/>
                <w:lang w:val="en-US" w:eastAsia="zh-CN"/>
              </w:rPr>
              <w:t>7#低压出线柜</w:t>
            </w:r>
          </w:p>
        </w:tc>
        <w:tc>
          <w:tcPr>
            <w:tcW w:w="1544" w:type="pct"/>
            <w:vMerge w:val="continue"/>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Merge w:val="continue"/>
            <w:tcBorders/>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5000" w:type="pct"/>
            <w:gridSpan w:val="6"/>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低压电气设备（电流互感器/开关设备/绝缘套管/支柱绝缘子/母排/避雷器/电缆等）日常巡视，损坏更换。</w:t>
            </w:r>
          </w:p>
        </w:tc>
      </w:tr>
    </w:tbl>
    <w:p>
      <w:pPr>
        <w:rPr>
          <w:rFonts w:hint="default"/>
          <w:lang w:val="en-US" w:eastAsia="zh-CN"/>
        </w:rPr>
      </w:pPr>
      <w:r>
        <w:rPr>
          <w:rFonts w:hint="default"/>
          <w:lang w:val="en-US" w:eastAsia="zh-CN"/>
        </w:rPr>
        <w:br w:type="page"/>
      </w:r>
    </w:p>
    <w:p>
      <w:pPr>
        <w:pStyle w:val="2"/>
        <w:bidi w:val="0"/>
        <w:rPr>
          <w:rFonts w:hint="eastAsia" w:ascii="黑体" w:hAnsi="黑体" w:eastAsia="黑体" w:cs="黑体"/>
          <w:b w:val="0"/>
          <w:bCs/>
          <w:sz w:val="32"/>
          <w:szCs w:val="32"/>
          <w:lang w:val="en-US" w:eastAsia="zh-CN"/>
        </w:rPr>
      </w:pPr>
      <w:r>
        <w:rPr>
          <w:rFonts w:hint="eastAsia" w:ascii="黑体" w:hAnsi="黑体" w:eastAsia="黑体"/>
          <w:b w:val="0"/>
          <w:bCs/>
          <w:color w:val="auto"/>
          <w:sz w:val="32"/>
          <w:szCs w:val="32"/>
        </w:rPr>
        <w:t>日常维护保养内容</w:t>
      </w:r>
      <w:r>
        <w:rPr>
          <w:rFonts w:hint="eastAsia" w:ascii="黑体" w:hAnsi="黑体" w:eastAsia="黑体" w:cs="黑体"/>
          <w:b w:val="0"/>
          <w:bCs/>
          <w:sz w:val="32"/>
          <w:szCs w:val="32"/>
          <w:lang w:val="en-US" w:eastAsia="zh-CN"/>
        </w:rPr>
        <w:t>（</w:t>
      </w:r>
      <w:r>
        <w:rPr>
          <w:rFonts w:hint="eastAsia" w:ascii="黑体" w:hAnsi="黑体" w:eastAsia="黑体" w:cs="黑体"/>
          <w:b w:val="0"/>
          <w:bCs/>
          <w:sz w:val="32"/>
          <w:szCs w:val="32"/>
          <w:u w:val="none"/>
          <w:lang w:val="en-US" w:eastAsia="zh-CN"/>
        </w:rPr>
        <w:t>每年一次</w:t>
      </w:r>
      <w:r>
        <w:rPr>
          <w:rFonts w:hint="eastAsia" w:ascii="黑体" w:hAnsi="黑体" w:eastAsia="黑体" w:cs="黑体"/>
          <w:b w:val="0"/>
          <w:bCs/>
          <w:sz w:val="32"/>
          <w:szCs w:val="32"/>
          <w:lang w:val="en-US" w:eastAsia="zh-CN"/>
        </w:rPr>
        <w:t>）</w:t>
      </w:r>
    </w:p>
    <w:tbl>
      <w:tblPr>
        <w:tblStyle w:val="6"/>
        <w:tblW w:w="54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
        <w:gridCol w:w="2302"/>
        <w:gridCol w:w="2636"/>
        <w:gridCol w:w="1650"/>
        <w:gridCol w:w="1335"/>
        <w:gridCol w:w="9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黑体" w:hAnsi="黑体" w:eastAsia="黑体" w:cs="黑体"/>
                <w:b/>
                <w:bCs/>
                <w:kern w:val="2"/>
                <w:sz w:val="21"/>
                <w:szCs w:val="21"/>
                <w:lang w:val="en-US" w:eastAsia="zh-CN" w:bidi="ar-SA"/>
              </w:rPr>
            </w:pPr>
            <w:r>
              <w:rPr>
                <w:rFonts w:hint="eastAsia" w:ascii="黑体" w:hAnsi="黑体" w:eastAsia="黑体" w:cs="黑体"/>
                <w:b/>
                <w:bCs/>
                <w:sz w:val="21"/>
                <w:szCs w:val="21"/>
                <w:lang w:val="en-US" w:eastAsia="zh-CN"/>
              </w:rPr>
              <w:t>序号</w:t>
            </w:r>
          </w:p>
        </w:tc>
        <w:tc>
          <w:tcPr>
            <w:tcW w:w="1228"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黑体" w:hAnsi="黑体" w:eastAsia="黑体" w:cs="黑体"/>
                <w:b/>
                <w:bCs/>
                <w:kern w:val="2"/>
                <w:sz w:val="21"/>
                <w:szCs w:val="21"/>
                <w:lang w:val="en-US" w:eastAsia="zh-CN" w:bidi="ar-SA"/>
              </w:rPr>
            </w:pPr>
            <w:r>
              <w:rPr>
                <w:rFonts w:hint="eastAsia" w:ascii="黑体" w:hAnsi="黑体" w:eastAsia="黑体" w:cs="黑体"/>
                <w:b/>
                <w:bCs/>
                <w:sz w:val="21"/>
                <w:szCs w:val="21"/>
                <w:lang w:val="en-US" w:eastAsia="zh-CN"/>
              </w:rPr>
              <w:t>名称</w:t>
            </w:r>
          </w:p>
        </w:tc>
        <w:tc>
          <w:tcPr>
            <w:tcW w:w="1406"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黑体" w:hAnsi="黑体" w:eastAsia="黑体" w:cs="黑体"/>
                <w:b/>
                <w:bCs/>
                <w:kern w:val="2"/>
                <w:sz w:val="21"/>
                <w:szCs w:val="21"/>
                <w:lang w:val="en-US" w:eastAsia="zh-CN" w:bidi="ar-SA"/>
              </w:rPr>
            </w:pPr>
            <w:r>
              <w:rPr>
                <w:rFonts w:hint="eastAsia" w:ascii="黑体" w:hAnsi="黑体" w:eastAsia="黑体" w:cs="黑体"/>
                <w:b/>
                <w:bCs/>
                <w:sz w:val="21"/>
                <w:szCs w:val="21"/>
                <w:lang w:val="en-US" w:eastAsia="zh-CN"/>
              </w:rPr>
              <w:t>维护保养内容</w:t>
            </w:r>
          </w:p>
        </w:tc>
        <w:tc>
          <w:tcPr>
            <w:tcW w:w="880"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黑体" w:hAnsi="黑体" w:eastAsia="黑体" w:cs="黑体"/>
                <w:b/>
                <w:bCs/>
                <w:kern w:val="2"/>
                <w:sz w:val="21"/>
                <w:szCs w:val="21"/>
                <w:lang w:val="en-US" w:eastAsia="zh-CN" w:bidi="ar-SA"/>
              </w:rPr>
            </w:pPr>
            <w:r>
              <w:rPr>
                <w:rFonts w:hint="eastAsia" w:ascii="黑体" w:hAnsi="黑体" w:eastAsia="黑体" w:cs="黑体"/>
                <w:b/>
                <w:bCs/>
                <w:sz w:val="21"/>
                <w:szCs w:val="21"/>
                <w:lang w:val="en-US" w:eastAsia="zh-CN"/>
              </w:rPr>
              <w:t>维护保养标准及要求</w:t>
            </w:r>
          </w:p>
        </w:tc>
        <w:tc>
          <w:tcPr>
            <w:tcW w:w="712" w:type="pct"/>
            <w:vAlign w:val="center"/>
          </w:tcPr>
          <w:p>
            <w:pPr>
              <w:keepNext w:val="0"/>
              <w:keepLines w:val="0"/>
              <w:pageBreakBefore w:val="0"/>
              <w:widowControl w:val="0"/>
              <w:kinsoku/>
              <w:wordWrap/>
              <w:overflowPunct/>
              <w:topLinePunct w:val="0"/>
              <w:autoSpaceDE/>
              <w:autoSpaceDN/>
              <w:bidi w:val="0"/>
              <w:adjustRightInd/>
              <w:snapToGrid/>
              <w:spacing w:line="240" w:lineRule="auto"/>
              <w:ind w:right="0" w:rightChars="0"/>
              <w:jc w:val="center"/>
              <w:textAlignment w:val="auto"/>
              <w:rPr>
                <w:rFonts w:hint="eastAsia" w:ascii="黑体" w:hAnsi="黑体" w:eastAsia="黑体" w:cs="黑体"/>
                <w:b/>
                <w:bCs/>
                <w:kern w:val="2"/>
                <w:sz w:val="21"/>
                <w:szCs w:val="21"/>
                <w:lang w:val="en-US" w:eastAsia="zh-CN" w:bidi="ar-SA"/>
              </w:rPr>
            </w:pPr>
            <w:r>
              <w:rPr>
                <w:rFonts w:hint="eastAsia" w:ascii="黑体" w:hAnsi="黑体" w:eastAsia="黑体" w:cs="黑体"/>
                <w:b/>
                <w:bCs/>
                <w:sz w:val="21"/>
                <w:szCs w:val="21"/>
                <w:lang w:val="en-US" w:eastAsia="zh-CN"/>
              </w:rPr>
              <w:t>是否完成</w:t>
            </w:r>
          </w:p>
        </w:tc>
        <w:tc>
          <w:tcPr>
            <w:tcW w:w="523" w:type="pct"/>
            <w:vAlign w:val="center"/>
          </w:tcPr>
          <w:p>
            <w:pPr>
              <w:keepNext w:val="0"/>
              <w:keepLines w:val="0"/>
              <w:pageBreakBefore w:val="0"/>
              <w:widowControl w:val="0"/>
              <w:kinsoku/>
              <w:wordWrap/>
              <w:overflowPunct/>
              <w:topLinePunct w:val="0"/>
              <w:autoSpaceDE/>
              <w:autoSpaceDN/>
              <w:bidi w:val="0"/>
              <w:adjustRightInd/>
              <w:snapToGrid/>
              <w:spacing w:line="240" w:lineRule="auto"/>
              <w:ind w:right="0" w:rightChars="0"/>
              <w:jc w:val="center"/>
              <w:textAlignment w:val="auto"/>
              <w:rPr>
                <w:rFonts w:hint="eastAsia" w:ascii="黑体" w:hAnsi="黑体" w:eastAsia="黑体" w:cs="黑体"/>
                <w:b/>
                <w:bCs/>
                <w:kern w:val="2"/>
                <w:sz w:val="21"/>
                <w:szCs w:val="21"/>
                <w:lang w:val="en-US" w:eastAsia="zh-CN" w:bidi="ar-SA"/>
              </w:rPr>
            </w:pPr>
            <w:r>
              <w:rPr>
                <w:rFonts w:hint="eastAsia" w:ascii="黑体" w:hAnsi="黑体" w:eastAsia="黑体" w:cs="黑体"/>
                <w:b/>
                <w:bCs/>
                <w:sz w:val="21"/>
                <w:szCs w:val="21"/>
                <w:lang w:val="en-US" w:eastAsia="zh-CN"/>
              </w:rPr>
              <w:t>是否配件更换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764" w:type="pct"/>
            <w:gridSpan w:val="4"/>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b/>
                <w:bCs/>
                <w:sz w:val="21"/>
                <w:szCs w:val="21"/>
                <w:lang w:val="en-US" w:eastAsia="zh-CN"/>
              </w:rPr>
            </w:pPr>
            <w:r>
              <w:rPr>
                <w:rFonts w:hint="eastAsia" w:ascii="宋体" w:hAnsi="宋体" w:eastAsia="宋体" w:cs="宋体"/>
                <w:b/>
                <w:bCs w:val="0"/>
                <w:sz w:val="21"/>
                <w:szCs w:val="21"/>
                <w:lang w:val="en-US" w:eastAsia="zh-CN"/>
              </w:rPr>
              <w:t>高压柜</w:t>
            </w: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b/>
                <w:bCs w:val="0"/>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b/>
                <w:bCs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1228" w:type="pct"/>
            <w:vAlign w:val="center"/>
          </w:tcPr>
          <w:p>
            <w:pPr>
              <w:spacing w:line="360" w:lineRule="auto"/>
              <w:ind w:right="126" w:rightChars="60"/>
              <w:jc w:val="both"/>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高压多功能进线柜</w:t>
            </w:r>
          </w:p>
        </w:tc>
        <w:tc>
          <w:tcPr>
            <w:tcW w:w="1406" w:type="pct"/>
            <w:vMerge w:val="restar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电流互感器：绝缘电阻/交流耐压试验/一次绕组直流电阻测量；</w:t>
            </w:r>
          </w:p>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电压互感器：绝缘电阻/交流耐压试验/电压比；</w:t>
            </w:r>
          </w:p>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开关设备：绝缘电阻/导电回路电阻/交流耐压试验（断路器主回路对地、相间及断口）；</w:t>
            </w:r>
          </w:p>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绝缘套管：绝缘电阻/交流耐压试验。支柱绝缘子：绝缘电阻/交流耐压试验；</w:t>
            </w:r>
          </w:p>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母排：绝缘电阻/交流耐压试验；</w:t>
            </w:r>
          </w:p>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避雷器：绝缘电阻/工频放电电压/底座绝缘电阻接地装置；</w:t>
            </w:r>
          </w:p>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电缆：绝缘电阻/直流耐压试验。</w:t>
            </w:r>
          </w:p>
        </w:tc>
        <w:tc>
          <w:tcPr>
            <w:tcW w:w="880" w:type="pct"/>
            <w:vMerge w:val="restar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依据中华人民共和国电力行业标准DL/T596-1996</w:t>
            </w:r>
          </w:p>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（每1-3年/大修后/必要时）</w:t>
            </w:r>
          </w:p>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w:t>
            </w:r>
          </w:p>
        </w:tc>
        <w:tc>
          <w:tcPr>
            <w:tcW w:w="1228" w:type="pct"/>
            <w:vAlign w:val="center"/>
          </w:tcPr>
          <w:p>
            <w:pPr>
              <w:spacing w:line="360" w:lineRule="auto"/>
              <w:ind w:right="126" w:rightChars="60"/>
              <w:jc w:val="both"/>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高压多功能计量控制柜</w:t>
            </w:r>
          </w:p>
        </w:tc>
        <w:tc>
          <w:tcPr>
            <w:tcW w:w="1406"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880"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w:t>
            </w:r>
          </w:p>
        </w:tc>
        <w:tc>
          <w:tcPr>
            <w:tcW w:w="1228" w:type="pct"/>
            <w:vAlign w:val="center"/>
          </w:tcPr>
          <w:p>
            <w:pPr>
              <w:spacing w:line="360" w:lineRule="auto"/>
              <w:ind w:right="126" w:rightChars="60"/>
              <w:jc w:val="both"/>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1#高压柜</w:t>
            </w:r>
          </w:p>
        </w:tc>
        <w:tc>
          <w:tcPr>
            <w:tcW w:w="1406"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880"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w:t>
            </w:r>
          </w:p>
        </w:tc>
        <w:tc>
          <w:tcPr>
            <w:tcW w:w="1228" w:type="pct"/>
            <w:vAlign w:val="top"/>
          </w:tcPr>
          <w:p>
            <w:pPr>
              <w:spacing w:line="360" w:lineRule="auto"/>
              <w:ind w:right="126" w:rightChars="60"/>
              <w:jc w:val="both"/>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2#高压柜</w:t>
            </w:r>
          </w:p>
        </w:tc>
        <w:tc>
          <w:tcPr>
            <w:tcW w:w="1406"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880"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w:t>
            </w:r>
          </w:p>
        </w:tc>
        <w:tc>
          <w:tcPr>
            <w:tcW w:w="1228" w:type="pct"/>
            <w:vAlign w:val="top"/>
          </w:tcPr>
          <w:p>
            <w:pPr>
              <w:spacing w:line="360" w:lineRule="auto"/>
              <w:ind w:right="126" w:rightChars="60"/>
              <w:jc w:val="both"/>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3#高压柜</w:t>
            </w:r>
          </w:p>
        </w:tc>
        <w:tc>
          <w:tcPr>
            <w:tcW w:w="1406"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880"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w:t>
            </w:r>
          </w:p>
        </w:tc>
        <w:tc>
          <w:tcPr>
            <w:tcW w:w="1228" w:type="pct"/>
            <w:vAlign w:val="top"/>
          </w:tcPr>
          <w:p>
            <w:pPr>
              <w:spacing w:line="360" w:lineRule="auto"/>
              <w:ind w:right="126" w:rightChars="60"/>
              <w:jc w:val="both"/>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4#高压柜</w:t>
            </w:r>
          </w:p>
        </w:tc>
        <w:tc>
          <w:tcPr>
            <w:tcW w:w="1406"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880"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p>
        </w:tc>
        <w:tc>
          <w:tcPr>
            <w:tcW w:w="1228"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1406"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880"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p>
        </w:tc>
        <w:tc>
          <w:tcPr>
            <w:tcW w:w="1228"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1406"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880"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p>
        </w:tc>
        <w:tc>
          <w:tcPr>
            <w:tcW w:w="1228"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1406"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880"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7</w:t>
            </w:r>
          </w:p>
        </w:tc>
        <w:tc>
          <w:tcPr>
            <w:tcW w:w="1228"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高压配电房接地装置</w:t>
            </w:r>
          </w:p>
        </w:tc>
        <w:tc>
          <w:tcPr>
            <w:tcW w:w="1406"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接地装置(接地电阻不大于4Ω)</w:t>
            </w:r>
          </w:p>
        </w:tc>
        <w:tc>
          <w:tcPr>
            <w:tcW w:w="880"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周期不超过6年</w:t>
            </w: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764" w:type="pct"/>
            <w:gridSpan w:val="4"/>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b/>
                <w:bCs w:val="0"/>
                <w:sz w:val="21"/>
                <w:szCs w:val="21"/>
                <w:lang w:val="en-US" w:eastAsia="zh-CN"/>
              </w:rPr>
              <w:t>变压器</w:t>
            </w: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b/>
                <w:bCs w:val="0"/>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b/>
                <w:bCs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1</w:t>
            </w:r>
          </w:p>
        </w:tc>
        <w:tc>
          <w:tcPr>
            <w:tcW w:w="1228"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pacing w:val="-6"/>
                <w:sz w:val="21"/>
                <w:szCs w:val="21"/>
                <w:lang w:val="en-US" w:eastAsia="zh-CN"/>
              </w:rPr>
              <w:t>1#变压器630</w:t>
            </w:r>
            <w:r>
              <w:rPr>
                <w:rFonts w:hint="eastAsia"/>
                <w:b w:val="0"/>
                <w:bCs/>
                <w:sz w:val="21"/>
                <w:szCs w:val="21"/>
                <w:lang w:val="en-US" w:eastAsia="zh-CN"/>
              </w:rPr>
              <w:t>KVA</w:t>
            </w:r>
          </w:p>
        </w:tc>
        <w:tc>
          <w:tcPr>
            <w:tcW w:w="1406"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绕组直流电阻;</w:t>
            </w:r>
          </w:p>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绕组绝缘电阻/吸收比或极化;</w:t>
            </w:r>
          </w:p>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交流耐压试验;</w:t>
            </w:r>
          </w:p>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铁芯绝缘电阻;</w:t>
            </w:r>
          </w:p>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绕组分接电压比.</w:t>
            </w:r>
          </w:p>
        </w:tc>
        <w:tc>
          <w:tcPr>
            <w:tcW w:w="880"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依据中华人民共和国电力行业标准DL/T596-1996</w:t>
            </w:r>
          </w:p>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（每1-3年/大修后/必要时）</w:t>
            </w: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both"/>
              <w:textAlignment w:val="auto"/>
              <w:rPr>
                <w:rFonts w:hint="eastAsia" w:ascii="宋体" w:hAnsi="宋体" w:eastAsia="宋体" w:cs="宋体"/>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both"/>
              <w:textAlignment w:val="auto"/>
              <w:rPr>
                <w:rFonts w:hint="eastAsia" w:ascii="宋体" w:hAnsi="宋体" w:eastAsia="宋体" w:cs="宋体"/>
                <w:sz w:val="21"/>
                <w:szCs w:val="21"/>
                <w:lang w:val="en-US" w:eastAsia="zh-CN"/>
              </w:rPr>
            </w:pPr>
          </w:p>
        </w:tc>
      </w:tr>
    </w:tbl>
    <w:p>
      <w:pP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br w:type="page"/>
      </w:r>
    </w:p>
    <w:p>
      <w:pPr>
        <w:jc w:val="center"/>
        <w:rPr>
          <w:rFonts w:hint="eastAsia" w:ascii="黑体" w:hAnsi="黑体" w:eastAsia="黑体" w:cs="Times New Roman"/>
          <w:b w:val="0"/>
          <w:bCs/>
          <w:color w:val="auto"/>
          <w:kern w:val="2"/>
          <w:sz w:val="32"/>
          <w:szCs w:val="32"/>
          <w:lang w:val="en-US" w:eastAsia="zh-CN" w:bidi="ar-SA"/>
        </w:rPr>
      </w:pPr>
      <w:r>
        <w:rPr>
          <w:rFonts w:hint="eastAsia" w:ascii="黑体" w:hAnsi="黑体" w:eastAsia="黑体" w:cs="Times New Roman"/>
          <w:b w:val="0"/>
          <w:bCs/>
          <w:color w:val="auto"/>
          <w:kern w:val="2"/>
          <w:sz w:val="32"/>
          <w:szCs w:val="32"/>
          <w:lang w:val="en-US" w:eastAsia="zh-CN" w:bidi="ar-SA"/>
        </w:rPr>
        <w:t>丁字桥院区配电间设备设施清单</w:t>
      </w:r>
    </w:p>
    <w:p>
      <w:pPr>
        <w:jc w:val="center"/>
        <w:rPr>
          <w:rFonts w:hint="eastAsia" w:ascii="黑体" w:hAnsi="黑体" w:eastAsia="黑体" w:cs="Times New Roman"/>
          <w:b w:val="0"/>
          <w:bCs/>
          <w:color w:val="auto"/>
          <w:kern w:val="2"/>
          <w:sz w:val="32"/>
          <w:szCs w:val="32"/>
          <w:lang w:val="en-US" w:eastAsia="zh-CN" w:bidi="ar-SA"/>
        </w:rPr>
      </w:pPr>
      <w:bookmarkStart w:id="0" w:name="_GoBack"/>
      <w:bookmarkEnd w:id="0"/>
    </w:p>
    <w:tbl>
      <w:tblPr>
        <w:tblStyle w:val="6"/>
        <w:tblpPr w:leftFromText="180" w:rightFromText="180" w:vertAnchor="text" w:horzAnchor="page" w:tblpX="1800" w:tblpY="114"/>
        <w:tblOverlap w:val="never"/>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4"/>
        <w:gridCol w:w="2602"/>
        <w:gridCol w:w="1610"/>
        <w:gridCol w:w="764"/>
        <w:gridCol w:w="1140"/>
        <w:gridCol w:w="1149"/>
        <w:gridCol w:w="7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5" w:type="pct"/>
            <w:noWrap w:val="0"/>
            <w:vAlign w:val="top"/>
          </w:tcPr>
          <w:p>
            <w:pPr>
              <w:jc w:val="center"/>
              <w:rPr>
                <w:rFonts w:ascii="宋体" w:hAnsi="宋体"/>
                <w:szCs w:val="21"/>
              </w:rPr>
            </w:pPr>
            <w:r>
              <w:rPr>
                <w:rFonts w:hint="eastAsia" w:ascii="宋体" w:hAnsi="宋体"/>
                <w:szCs w:val="21"/>
              </w:rPr>
              <w:t>序号</w:t>
            </w:r>
          </w:p>
        </w:tc>
        <w:tc>
          <w:tcPr>
            <w:tcW w:w="1526" w:type="pct"/>
            <w:noWrap w:val="0"/>
            <w:vAlign w:val="top"/>
          </w:tcPr>
          <w:p>
            <w:pPr>
              <w:jc w:val="center"/>
              <w:rPr>
                <w:rFonts w:ascii="宋体" w:hAnsi="宋体"/>
                <w:szCs w:val="21"/>
              </w:rPr>
            </w:pPr>
            <w:r>
              <w:rPr>
                <w:rFonts w:hint="eastAsia" w:ascii="宋体" w:hAnsi="宋体"/>
                <w:szCs w:val="21"/>
              </w:rPr>
              <w:t>名称</w:t>
            </w:r>
          </w:p>
        </w:tc>
        <w:tc>
          <w:tcPr>
            <w:tcW w:w="944" w:type="pct"/>
            <w:noWrap w:val="0"/>
            <w:vAlign w:val="top"/>
          </w:tcPr>
          <w:p>
            <w:pPr>
              <w:jc w:val="center"/>
              <w:rPr>
                <w:rFonts w:ascii="宋体" w:hAnsi="宋体"/>
                <w:szCs w:val="21"/>
              </w:rPr>
            </w:pPr>
            <w:r>
              <w:rPr>
                <w:rFonts w:hint="eastAsia" w:ascii="宋体" w:hAnsi="宋体"/>
                <w:szCs w:val="21"/>
              </w:rPr>
              <w:t>规格型号</w:t>
            </w:r>
          </w:p>
        </w:tc>
        <w:tc>
          <w:tcPr>
            <w:tcW w:w="448" w:type="pct"/>
            <w:noWrap w:val="0"/>
            <w:vAlign w:val="top"/>
          </w:tcPr>
          <w:p>
            <w:pPr>
              <w:jc w:val="center"/>
              <w:rPr>
                <w:rFonts w:ascii="宋体" w:hAnsi="宋体"/>
                <w:szCs w:val="21"/>
              </w:rPr>
            </w:pPr>
            <w:r>
              <w:rPr>
                <w:rFonts w:hint="eastAsia" w:ascii="宋体" w:hAnsi="宋体"/>
                <w:szCs w:val="21"/>
              </w:rPr>
              <w:t>数量</w:t>
            </w:r>
          </w:p>
        </w:tc>
        <w:tc>
          <w:tcPr>
            <w:tcW w:w="668" w:type="pct"/>
            <w:noWrap w:val="0"/>
            <w:vAlign w:val="top"/>
          </w:tcPr>
          <w:p>
            <w:pPr>
              <w:jc w:val="center"/>
              <w:rPr>
                <w:rFonts w:ascii="宋体" w:hAnsi="宋体"/>
                <w:szCs w:val="21"/>
              </w:rPr>
            </w:pPr>
            <w:r>
              <w:rPr>
                <w:rFonts w:hint="eastAsia" w:ascii="宋体" w:hAnsi="宋体"/>
                <w:szCs w:val="21"/>
              </w:rPr>
              <w:t>生产时间</w:t>
            </w:r>
          </w:p>
        </w:tc>
        <w:tc>
          <w:tcPr>
            <w:tcW w:w="674" w:type="pct"/>
            <w:noWrap w:val="0"/>
            <w:vAlign w:val="top"/>
          </w:tcPr>
          <w:p>
            <w:pPr>
              <w:jc w:val="center"/>
              <w:rPr>
                <w:rFonts w:ascii="宋体" w:hAnsi="宋体"/>
                <w:szCs w:val="21"/>
              </w:rPr>
            </w:pPr>
            <w:r>
              <w:rPr>
                <w:rFonts w:hint="eastAsia" w:ascii="宋体" w:hAnsi="宋体"/>
                <w:szCs w:val="21"/>
              </w:rPr>
              <w:t>使用时间</w:t>
            </w:r>
          </w:p>
        </w:tc>
        <w:tc>
          <w:tcPr>
            <w:tcW w:w="412" w:type="pct"/>
            <w:noWrap w:val="0"/>
            <w:vAlign w:val="top"/>
          </w:tcPr>
          <w:p>
            <w:pPr>
              <w:jc w:val="center"/>
              <w:rPr>
                <w:rFonts w:ascii="宋体" w:hAnsi="宋体"/>
                <w:szCs w:val="21"/>
              </w:rPr>
            </w:pPr>
            <w:r>
              <w:rPr>
                <w:rFonts w:hint="eastAsia" w:ascii="宋体" w:hAnsi="宋体"/>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5" w:type="pct"/>
            <w:noWrap w:val="0"/>
            <w:vAlign w:val="top"/>
          </w:tcPr>
          <w:p>
            <w:pPr>
              <w:jc w:val="center"/>
              <w:rPr>
                <w:rFonts w:hint="eastAsia" w:ascii="宋体" w:hAnsi="宋体"/>
                <w:sz w:val="21"/>
                <w:szCs w:val="21"/>
                <w:lang w:val="en-US" w:eastAsia="zh-CN"/>
              </w:rPr>
            </w:pPr>
            <w:r>
              <w:rPr>
                <w:rFonts w:hint="eastAsia" w:ascii="宋体" w:hAnsi="宋体"/>
                <w:sz w:val="21"/>
                <w:szCs w:val="21"/>
                <w:lang w:val="en-US" w:eastAsia="zh-CN"/>
              </w:rPr>
              <w:t>1</w:t>
            </w:r>
          </w:p>
        </w:tc>
        <w:tc>
          <w:tcPr>
            <w:tcW w:w="1526" w:type="pct"/>
            <w:noWrap w:val="0"/>
            <w:vAlign w:val="center"/>
          </w:tcPr>
          <w:p>
            <w:pPr>
              <w:spacing w:line="360" w:lineRule="auto"/>
              <w:ind w:right="126" w:rightChars="60"/>
              <w:jc w:val="both"/>
              <w:rPr>
                <w:rFonts w:hint="eastAsia" w:ascii="宋体" w:hAnsi="宋体" w:eastAsia="宋体" w:cs="宋体"/>
                <w:spacing w:val="-6"/>
                <w:sz w:val="21"/>
                <w:szCs w:val="21"/>
                <w:lang w:val="en-US" w:eastAsia="zh-CN"/>
              </w:rPr>
            </w:pPr>
            <w:r>
              <w:rPr>
                <w:rFonts w:hint="eastAsia" w:ascii="宋体" w:hAnsi="宋体" w:eastAsia="宋体" w:cs="宋体"/>
                <w:sz w:val="21"/>
                <w:szCs w:val="21"/>
                <w:lang w:val="en-US" w:eastAsia="zh-CN"/>
              </w:rPr>
              <w:t>高压多功能进线柜</w:t>
            </w:r>
          </w:p>
        </w:tc>
        <w:tc>
          <w:tcPr>
            <w:tcW w:w="944" w:type="pct"/>
            <w:noWrap w:val="0"/>
            <w:vAlign w:val="top"/>
          </w:tcPr>
          <w:p>
            <w:pPr>
              <w:jc w:val="center"/>
              <w:rPr>
                <w:rFonts w:hint="eastAsia" w:ascii="宋体" w:hAnsi="宋体" w:eastAsia="宋体" w:cs="宋体"/>
                <w:spacing w:val="-6"/>
                <w:sz w:val="21"/>
                <w:szCs w:val="21"/>
                <w:lang w:val="en-US" w:eastAsia="zh-CN"/>
              </w:rPr>
            </w:pPr>
            <w:r>
              <w:rPr>
                <w:rFonts w:hint="eastAsia" w:ascii="宋体" w:hAnsi="宋体" w:eastAsia="宋体" w:cs="宋体"/>
                <w:sz w:val="24"/>
                <w:szCs w:val="24"/>
                <w:lang w:val="en-US" w:eastAsia="zh-CN"/>
              </w:rPr>
              <w:t>PJWA-12-40</w:t>
            </w:r>
          </w:p>
        </w:tc>
        <w:tc>
          <w:tcPr>
            <w:tcW w:w="448" w:type="pct"/>
            <w:noWrap w:val="0"/>
            <w:vAlign w:val="top"/>
          </w:tcPr>
          <w:p>
            <w:pPr>
              <w:jc w:val="center"/>
              <w:rPr>
                <w:rFonts w:hint="eastAsia" w:ascii="宋体" w:hAnsi="宋体"/>
                <w:sz w:val="21"/>
                <w:szCs w:val="21"/>
                <w:lang w:val="en-US" w:eastAsia="zh-CN"/>
              </w:rPr>
            </w:pPr>
          </w:p>
        </w:tc>
        <w:tc>
          <w:tcPr>
            <w:tcW w:w="668" w:type="pct"/>
            <w:noWrap w:val="0"/>
            <w:vAlign w:val="top"/>
          </w:tcPr>
          <w:p>
            <w:pPr>
              <w:jc w:val="center"/>
              <w:rPr>
                <w:rFonts w:hint="eastAsia" w:ascii="宋体" w:hAnsi="宋体" w:eastAsia="宋体" w:cs="宋体"/>
                <w:spacing w:val="-6"/>
                <w:sz w:val="21"/>
                <w:szCs w:val="21"/>
                <w:lang w:val="en-US" w:eastAsia="zh-CN"/>
              </w:rPr>
            </w:pPr>
            <w:r>
              <w:rPr>
                <w:rFonts w:hint="eastAsia" w:ascii="宋体" w:hAnsi="宋体" w:eastAsia="宋体" w:cs="宋体"/>
                <w:sz w:val="24"/>
                <w:szCs w:val="24"/>
                <w:lang w:val="en-US" w:eastAsia="zh-CN"/>
              </w:rPr>
              <w:t>2016.12</w:t>
            </w:r>
          </w:p>
        </w:tc>
        <w:tc>
          <w:tcPr>
            <w:tcW w:w="674" w:type="pct"/>
            <w:vMerge w:val="restart"/>
            <w:noWrap w:val="0"/>
            <w:vAlign w:val="top"/>
          </w:tcPr>
          <w:p>
            <w:pPr>
              <w:jc w:val="center"/>
              <w:rPr>
                <w:rFonts w:hint="eastAsia"/>
                <w:sz w:val="21"/>
                <w:szCs w:val="21"/>
                <w:lang w:val="en-US" w:eastAsia="zh-CN"/>
              </w:rPr>
            </w:pPr>
          </w:p>
          <w:p>
            <w:pPr>
              <w:jc w:val="center"/>
              <w:rPr>
                <w:rFonts w:hint="eastAsia"/>
                <w:sz w:val="21"/>
                <w:szCs w:val="21"/>
                <w:lang w:val="en-US" w:eastAsia="zh-CN"/>
              </w:rPr>
            </w:pPr>
          </w:p>
          <w:p>
            <w:pPr>
              <w:jc w:val="center"/>
              <w:rPr>
                <w:rFonts w:hint="eastAsia"/>
                <w:sz w:val="21"/>
                <w:szCs w:val="21"/>
                <w:lang w:val="en-US" w:eastAsia="zh-CN"/>
              </w:rPr>
            </w:pPr>
          </w:p>
          <w:p>
            <w:pPr>
              <w:jc w:val="center"/>
              <w:rPr>
                <w:rFonts w:hint="eastAsia"/>
                <w:sz w:val="21"/>
                <w:szCs w:val="21"/>
                <w:lang w:val="en-US" w:eastAsia="zh-CN"/>
              </w:rPr>
            </w:pPr>
          </w:p>
          <w:p>
            <w:pPr>
              <w:jc w:val="center"/>
              <w:rPr>
                <w:rFonts w:hint="eastAsia"/>
                <w:sz w:val="21"/>
                <w:szCs w:val="21"/>
                <w:lang w:val="en-US" w:eastAsia="zh-CN"/>
              </w:rPr>
            </w:pPr>
          </w:p>
          <w:p>
            <w:pPr>
              <w:jc w:val="center"/>
              <w:rPr>
                <w:rFonts w:hint="eastAsia"/>
                <w:sz w:val="21"/>
                <w:szCs w:val="21"/>
                <w:lang w:val="en-US" w:eastAsia="zh-CN"/>
              </w:rPr>
            </w:pPr>
          </w:p>
          <w:p>
            <w:pPr>
              <w:jc w:val="center"/>
              <w:rPr>
                <w:rFonts w:hint="eastAsia"/>
                <w:sz w:val="21"/>
                <w:szCs w:val="21"/>
                <w:lang w:val="en-US" w:eastAsia="zh-CN"/>
              </w:rPr>
            </w:pPr>
          </w:p>
          <w:p>
            <w:pPr>
              <w:jc w:val="center"/>
              <w:rPr>
                <w:rFonts w:hint="eastAsia"/>
                <w:sz w:val="21"/>
                <w:szCs w:val="21"/>
                <w:lang w:val="en-US" w:eastAsia="zh-CN"/>
              </w:rPr>
            </w:pPr>
          </w:p>
          <w:p>
            <w:pPr>
              <w:jc w:val="center"/>
              <w:rPr>
                <w:rFonts w:hint="eastAsia"/>
                <w:sz w:val="21"/>
                <w:szCs w:val="21"/>
                <w:lang w:val="en-US" w:eastAsia="zh-CN"/>
              </w:rPr>
            </w:pPr>
          </w:p>
          <w:p>
            <w:pPr>
              <w:jc w:val="center"/>
              <w:rPr>
                <w:rFonts w:hint="eastAsia"/>
                <w:sz w:val="21"/>
                <w:szCs w:val="21"/>
                <w:lang w:val="en-US" w:eastAsia="zh-CN"/>
              </w:rPr>
            </w:pPr>
          </w:p>
          <w:p>
            <w:pPr>
              <w:jc w:val="center"/>
              <w:rPr>
                <w:rFonts w:hint="eastAsia"/>
                <w:sz w:val="21"/>
                <w:szCs w:val="21"/>
                <w:lang w:val="en-US" w:eastAsia="zh-CN"/>
              </w:rPr>
            </w:pPr>
            <w:r>
              <w:rPr>
                <w:rFonts w:hint="eastAsia"/>
                <w:sz w:val="21"/>
                <w:szCs w:val="21"/>
                <w:lang w:val="en-US" w:eastAsia="zh-CN"/>
              </w:rPr>
              <w:t>至今</w:t>
            </w:r>
          </w:p>
          <w:p>
            <w:pPr>
              <w:jc w:val="center"/>
              <w:rPr>
                <w:rFonts w:ascii="宋体" w:hAnsi="宋体"/>
                <w:sz w:val="21"/>
                <w:szCs w:val="21"/>
              </w:rPr>
            </w:pPr>
          </w:p>
        </w:tc>
        <w:tc>
          <w:tcPr>
            <w:tcW w:w="412" w:type="pct"/>
            <w:vMerge w:val="restart"/>
            <w:noWrap w:val="0"/>
            <w:vAlign w:val="top"/>
          </w:tcPr>
          <w:p>
            <w:pPr>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5" w:type="pct"/>
            <w:noWrap w:val="0"/>
            <w:vAlign w:val="top"/>
          </w:tcPr>
          <w:p>
            <w:pPr>
              <w:jc w:val="center"/>
              <w:rPr>
                <w:rFonts w:hint="eastAsia" w:ascii="宋体" w:hAnsi="宋体"/>
                <w:sz w:val="21"/>
                <w:szCs w:val="21"/>
                <w:lang w:val="en-US" w:eastAsia="zh-CN"/>
              </w:rPr>
            </w:pPr>
            <w:r>
              <w:rPr>
                <w:rFonts w:hint="eastAsia" w:ascii="宋体" w:hAnsi="宋体"/>
                <w:sz w:val="21"/>
                <w:szCs w:val="21"/>
                <w:lang w:val="en-US" w:eastAsia="zh-CN"/>
              </w:rPr>
              <w:t>2</w:t>
            </w:r>
          </w:p>
        </w:tc>
        <w:tc>
          <w:tcPr>
            <w:tcW w:w="1526" w:type="pct"/>
            <w:noWrap w:val="0"/>
            <w:vAlign w:val="center"/>
          </w:tcPr>
          <w:p>
            <w:pPr>
              <w:spacing w:line="360" w:lineRule="auto"/>
              <w:ind w:right="126" w:rightChars="60"/>
              <w:jc w:val="both"/>
              <w:rPr>
                <w:rFonts w:hint="eastAsia" w:ascii="宋体" w:hAnsi="宋体" w:eastAsia="宋体" w:cs="宋体"/>
                <w:spacing w:val="-6"/>
                <w:sz w:val="21"/>
                <w:szCs w:val="21"/>
                <w:lang w:val="en-US" w:eastAsia="zh-CN"/>
              </w:rPr>
            </w:pPr>
            <w:r>
              <w:rPr>
                <w:rFonts w:hint="eastAsia" w:ascii="宋体" w:hAnsi="宋体" w:eastAsia="宋体" w:cs="宋体"/>
                <w:sz w:val="21"/>
                <w:szCs w:val="21"/>
                <w:lang w:val="en-US" w:eastAsia="zh-CN"/>
              </w:rPr>
              <w:t>高压多功能计量控制柜</w:t>
            </w:r>
          </w:p>
        </w:tc>
        <w:tc>
          <w:tcPr>
            <w:tcW w:w="944" w:type="pct"/>
            <w:noWrap w:val="0"/>
            <w:vAlign w:val="top"/>
          </w:tcPr>
          <w:p>
            <w:pPr>
              <w:jc w:val="center"/>
              <w:rPr>
                <w:rFonts w:hint="eastAsia" w:ascii="宋体" w:hAnsi="宋体" w:eastAsia="宋体" w:cs="宋体"/>
                <w:spacing w:val="-6"/>
                <w:sz w:val="21"/>
                <w:szCs w:val="21"/>
                <w:lang w:val="en-US" w:eastAsia="zh-CN"/>
              </w:rPr>
            </w:pPr>
            <w:r>
              <w:rPr>
                <w:rFonts w:hint="eastAsia" w:ascii="宋体" w:hAnsi="宋体" w:eastAsia="宋体" w:cs="宋体"/>
                <w:sz w:val="24"/>
                <w:szCs w:val="24"/>
                <w:lang w:val="en-US" w:eastAsia="zh-CN"/>
              </w:rPr>
              <w:t>PJWA-12-40</w:t>
            </w:r>
          </w:p>
        </w:tc>
        <w:tc>
          <w:tcPr>
            <w:tcW w:w="448" w:type="pct"/>
            <w:noWrap w:val="0"/>
            <w:vAlign w:val="top"/>
          </w:tcPr>
          <w:p>
            <w:pPr>
              <w:jc w:val="center"/>
              <w:rPr>
                <w:rFonts w:hint="eastAsia" w:ascii="宋体" w:hAnsi="宋体"/>
                <w:sz w:val="21"/>
                <w:szCs w:val="21"/>
                <w:lang w:val="en-US" w:eastAsia="zh-CN"/>
              </w:rPr>
            </w:pPr>
          </w:p>
        </w:tc>
        <w:tc>
          <w:tcPr>
            <w:tcW w:w="668" w:type="pct"/>
            <w:noWrap w:val="0"/>
            <w:vAlign w:val="top"/>
          </w:tcPr>
          <w:p>
            <w:pPr>
              <w:jc w:val="center"/>
              <w:rPr>
                <w:rFonts w:hint="eastAsia" w:ascii="宋体" w:hAnsi="宋体" w:eastAsia="宋体" w:cs="宋体"/>
                <w:spacing w:val="-6"/>
                <w:sz w:val="21"/>
                <w:szCs w:val="21"/>
                <w:lang w:val="en-US" w:eastAsia="zh-CN"/>
              </w:rPr>
            </w:pPr>
            <w:r>
              <w:rPr>
                <w:rFonts w:hint="eastAsia" w:ascii="宋体" w:hAnsi="宋体" w:eastAsia="宋体" w:cs="宋体"/>
                <w:sz w:val="24"/>
                <w:szCs w:val="24"/>
                <w:lang w:val="en-US" w:eastAsia="zh-CN"/>
              </w:rPr>
              <w:t>2016.12</w:t>
            </w:r>
          </w:p>
        </w:tc>
        <w:tc>
          <w:tcPr>
            <w:tcW w:w="674" w:type="pct"/>
            <w:vMerge w:val="continue"/>
            <w:noWrap w:val="0"/>
            <w:vAlign w:val="top"/>
          </w:tcPr>
          <w:p>
            <w:pPr>
              <w:jc w:val="center"/>
              <w:rPr>
                <w:rFonts w:hint="eastAsia"/>
                <w:sz w:val="21"/>
                <w:szCs w:val="21"/>
                <w:lang w:val="en-US" w:eastAsia="zh-CN"/>
              </w:rPr>
            </w:pPr>
          </w:p>
        </w:tc>
        <w:tc>
          <w:tcPr>
            <w:tcW w:w="412" w:type="pct"/>
            <w:vMerge w:val="continue"/>
            <w:noWrap w:val="0"/>
            <w:vAlign w:val="top"/>
          </w:tcPr>
          <w:p>
            <w:pPr>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25" w:type="pct"/>
            <w:noWrap w:val="0"/>
            <w:vAlign w:val="top"/>
          </w:tcPr>
          <w:p>
            <w:pPr>
              <w:jc w:val="center"/>
              <w:rPr>
                <w:rFonts w:hint="eastAsia" w:ascii="宋体" w:hAnsi="宋体"/>
                <w:sz w:val="21"/>
                <w:szCs w:val="21"/>
                <w:lang w:val="en-US" w:eastAsia="zh-CN"/>
              </w:rPr>
            </w:pPr>
            <w:r>
              <w:rPr>
                <w:rFonts w:hint="eastAsia" w:ascii="宋体" w:hAnsi="宋体"/>
                <w:sz w:val="21"/>
                <w:szCs w:val="21"/>
                <w:lang w:val="en-US" w:eastAsia="zh-CN"/>
              </w:rPr>
              <w:t>3</w:t>
            </w:r>
          </w:p>
        </w:tc>
        <w:tc>
          <w:tcPr>
            <w:tcW w:w="1526" w:type="pct"/>
            <w:noWrap w:val="0"/>
            <w:vAlign w:val="center"/>
          </w:tcPr>
          <w:p>
            <w:pPr>
              <w:spacing w:line="360" w:lineRule="auto"/>
              <w:ind w:right="126" w:rightChars="60"/>
              <w:jc w:val="both"/>
              <w:rPr>
                <w:rFonts w:hint="eastAsia" w:ascii="宋体" w:hAnsi="宋体" w:eastAsia="宋体" w:cs="宋体"/>
                <w:spacing w:val="-6"/>
                <w:sz w:val="21"/>
                <w:szCs w:val="21"/>
                <w:lang w:val="en-US" w:eastAsia="zh-CN"/>
              </w:rPr>
            </w:pPr>
            <w:r>
              <w:rPr>
                <w:rFonts w:hint="eastAsia" w:ascii="宋体" w:hAnsi="宋体" w:eastAsia="宋体" w:cs="宋体"/>
                <w:sz w:val="21"/>
                <w:szCs w:val="21"/>
                <w:lang w:val="en-US" w:eastAsia="zh-CN"/>
              </w:rPr>
              <w:t>1#高压柜</w:t>
            </w:r>
          </w:p>
        </w:tc>
        <w:tc>
          <w:tcPr>
            <w:tcW w:w="944" w:type="pct"/>
            <w:noWrap w:val="0"/>
            <w:vAlign w:val="top"/>
          </w:tcPr>
          <w:p>
            <w:pPr>
              <w:jc w:val="center"/>
              <w:rPr>
                <w:rFonts w:hint="eastAsia" w:ascii="宋体" w:hAnsi="宋体" w:eastAsia="宋体" w:cs="宋体"/>
                <w:spacing w:val="-6"/>
                <w:sz w:val="21"/>
                <w:szCs w:val="21"/>
                <w:lang w:val="en-US" w:eastAsia="zh-CN"/>
              </w:rPr>
            </w:pPr>
            <w:r>
              <w:rPr>
                <w:rFonts w:hint="eastAsia" w:ascii="宋体" w:hAnsi="宋体" w:eastAsia="宋体" w:cs="宋体"/>
                <w:sz w:val="24"/>
                <w:szCs w:val="24"/>
                <w:lang w:val="en-US" w:eastAsia="zh-CN"/>
              </w:rPr>
              <w:t>HXGN11-12</w:t>
            </w:r>
          </w:p>
        </w:tc>
        <w:tc>
          <w:tcPr>
            <w:tcW w:w="448" w:type="pct"/>
            <w:noWrap w:val="0"/>
            <w:vAlign w:val="top"/>
          </w:tcPr>
          <w:p>
            <w:pPr>
              <w:jc w:val="center"/>
              <w:rPr>
                <w:rFonts w:hint="eastAsia" w:ascii="宋体" w:hAnsi="宋体"/>
                <w:sz w:val="21"/>
                <w:szCs w:val="21"/>
                <w:lang w:val="en-US" w:eastAsia="zh-CN"/>
              </w:rPr>
            </w:pPr>
          </w:p>
        </w:tc>
        <w:tc>
          <w:tcPr>
            <w:tcW w:w="668" w:type="pct"/>
            <w:noWrap w:val="0"/>
            <w:vAlign w:val="top"/>
          </w:tcPr>
          <w:p>
            <w:pPr>
              <w:jc w:val="center"/>
              <w:rPr>
                <w:rFonts w:hint="eastAsia" w:ascii="宋体" w:hAnsi="宋体" w:eastAsia="宋体" w:cs="宋体"/>
                <w:spacing w:val="-6"/>
                <w:sz w:val="21"/>
                <w:szCs w:val="21"/>
                <w:lang w:val="en-US" w:eastAsia="zh-CN"/>
              </w:rPr>
            </w:pPr>
            <w:r>
              <w:rPr>
                <w:rFonts w:hint="eastAsia" w:ascii="宋体" w:hAnsi="宋体" w:eastAsia="宋体" w:cs="宋体"/>
                <w:sz w:val="21"/>
                <w:szCs w:val="21"/>
                <w:lang w:val="en-US" w:eastAsia="zh-CN"/>
              </w:rPr>
              <w:t>1999.10</w:t>
            </w:r>
          </w:p>
        </w:tc>
        <w:tc>
          <w:tcPr>
            <w:tcW w:w="674" w:type="pct"/>
            <w:vMerge w:val="continue"/>
            <w:noWrap w:val="0"/>
            <w:vAlign w:val="top"/>
          </w:tcPr>
          <w:p>
            <w:pPr>
              <w:jc w:val="center"/>
              <w:rPr>
                <w:rFonts w:hint="eastAsia"/>
                <w:sz w:val="21"/>
                <w:szCs w:val="21"/>
                <w:lang w:val="en-US" w:eastAsia="zh-CN"/>
              </w:rPr>
            </w:pPr>
          </w:p>
        </w:tc>
        <w:tc>
          <w:tcPr>
            <w:tcW w:w="412" w:type="pct"/>
            <w:vMerge w:val="continue"/>
            <w:noWrap w:val="0"/>
            <w:vAlign w:val="top"/>
          </w:tcPr>
          <w:p>
            <w:pPr>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5" w:type="pct"/>
            <w:noWrap w:val="0"/>
            <w:vAlign w:val="top"/>
          </w:tcPr>
          <w:p>
            <w:pPr>
              <w:jc w:val="center"/>
              <w:rPr>
                <w:rFonts w:hint="eastAsia" w:ascii="宋体" w:hAnsi="宋体"/>
                <w:sz w:val="21"/>
                <w:szCs w:val="21"/>
                <w:lang w:val="en-US" w:eastAsia="zh-CN"/>
              </w:rPr>
            </w:pPr>
            <w:r>
              <w:rPr>
                <w:rFonts w:hint="eastAsia" w:ascii="宋体" w:hAnsi="宋体"/>
                <w:sz w:val="21"/>
                <w:szCs w:val="21"/>
                <w:lang w:val="en-US" w:eastAsia="zh-CN"/>
              </w:rPr>
              <w:t>4</w:t>
            </w:r>
          </w:p>
        </w:tc>
        <w:tc>
          <w:tcPr>
            <w:tcW w:w="1526" w:type="pct"/>
            <w:noWrap w:val="0"/>
            <w:vAlign w:val="top"/>
          </w:tcPr>
          <w:p>
            <w:pPr>
              <w:spacing w:line="360" w:lineRule="auto"/>
              <w:ind w:right="126" w:rightChars="60"/>
              <w:jc w:val="both"/>
              <w:rPr>
                <w:rFonts w:hint="eastAsia" w:ascii="宋体" w:hAnsi="宋体" w:eastAsia="宋体" w:cs="宋体"/>
                <w:spacing w:val="-6"/>
                <w:sz w:val="21"/>
                <w:szCs w:val="21"/>
                <w:lang w:val="en-US" w:eastAsia="zh-CN"/>
              </w:rPr>
            </w:pPr>
            <w:r>
              <w:rPr>
                <w:rFonts w:hint="eastAsia" w:ascii="宋体" w:hAnsi="宋体" w:eastAsia="宋体" w:cs="宋体"/>
                <w:sz w:val="21"/>
                <w:szCs w:val="21"/>
                <w:lang w:val="en-US" w:eastAsia="zh-CN"/>
              </w:rPr>
              <w:t>2#高压柜</w:t>
            </w:r>
          </w:p>
        </w:tc>
        <w:tc>
          <w:tcPr>
            <w:tcW w:w="944" w:type="pct"/>
            <w:noWrap w:val="0"/>
            <w:vAlign w:val="top"/>
          </w:tcPr>
          <w:p>
            <w:pPr>
              <w:jc w:val="center"/>
              <w:rPr>
                <w:rFonts w:hint="eastAsia" w:ascii="宋体" w:hAnsi="宋体" w:eastAsia="宋体" w:cs="宋体"/>
                <w:spacing w:val="-6"/>
                <w:sz w:val="21"/>
                <w:szCs w:val="21"/>
                <w:lang w:val="en-US" w:eastAsia="zh-CN"/>
              </w:rPr>
            </w:pPr>
            <w:r>
              <w:rPr>
                <w:rFonts w:hint="eastAsia" w:ascii="宋体" w:hAnsi="宋体" w:eastAsia="宋体" w:cs="宋体"/>
                <w:sz w:val="24"/>
                <w:szCs w:val="24"/>
                <w:lang w:val="en-US" w:eastAsia="zh-CN"/>
              </w:rPr>
              <w:t>HXGN11-12</w:t>
            </w:r>
          </w:p>
        </w:tc>
        <w:tc>
          <w:tcPr>
            <w:tcW w:w="448" w:type="pct"/>
            <w:noWrap w:val="0"/>
            <w:vAlign w:val="top"/>
          </w:tcPr>
          <w:p>
            <w:pPr>
              <w:jc w:val="center"/>
              <w:rPr>
                <w:rFonts w:hint="eastAsia" w:ascii="宋体" w:hAnsi="宋体"/>
                <w:sz w:val="21"/>
                <w:szCs w:val="21"/>
                <w:lang w:val="en-US" w:eastAsia="zh-CN"/>
              </w:rPr>
            </w:pPr>
          </w:p>
        </w:tc>
        <w:tc>
          <w:tcPr>
            <w:tcW w:w="668" w:type="pct"/>
            <w:noWrap w:val="0"/>
            <w:vAlign w:val="top"/>
          </w:tcPr>
          <w:p>
            <w:pPr>
              <w:jc w:val="center"/>
              <w:rPr>
                <w:rFonts w:hint="eastAsia" w:ascii="宋体" w:hAnsi="宋体" w:eastAsia="宋体" w:cs="宋体"/>
                <w:spacing w:val="-6"/>
                <w:sz w:val="21"/>
                <w:szCs w:val="21"/>
                <w:lang w:val="en-US" w:eastAsia="zh-CN"/>
              </w:rPr>
            </w:pPr>
            <w:r>
              <w:rPr>
                <w:rFonts w:hint="eastAsia" w:ascii="宋体" w:hAnsi="宋体" w:eastAsia="宋体" w:cs="宋体"/>
                <w:sz w:val="21"/>
                <w:szCs w:val="21"/>
                <w:lang w:val="en-US" w:eastAsia="zh-CN"/>
              </w:rPr>
              <w:t>1999.10</w:t>
            </w:r>
          </w:p>
        </w:tc>
        <w:tc>
          <w:tcPr>
            <w:tcW w:w="674" w:type="pct"/>
            <w:vMerge w:val="continue"/>
            <w:noWrap w:val="0"/>
            <w:vAlign w:val="top"/>
          </w:tcPr>
          <w:p>
            <w:pPr>
              <w:jc w:val="center"/>
              <w:rPr>
                <w:rFonts w:hint="eastAsia"/>
                <w:sz w:val="21"/>
                <w:szCs w:val="21"/>
                <w:lang w:val="en-US" w:eastAsia="zh-CN"/>
              </w:rPr>
            </w:pPr>
          </w:p>
        </w:tc>
        <w:tc>
          <w:tcPr>
            <w:tcW w:w="412" w:type="pct"/>
            <w:vMerge w:val="continue"/>
            <w:noWrap w:val="0"/>
            <w:vAlign w:val="top"/>
          </w:tcPr>
          <w:p>
            <w:pPr>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5" w:type="pct"/>
            <w:noWrap w:val="0"/>
            <w:vAlign w:val="top"/>
          </w:tcPr>
          <w:p>
            <w:pPr>
              <w:jc w:val="center"/>
              <w:rPr>
                <w:rFonts w:hint="eastAsia" w:ascii="宋体" w:hAnsi="宋体"/>
                <w:sz w:val="21"/>
                <w:szCs w:val="21"/>
                <w:lang w:val="en-US" w:eastAsia="zh-CN"/>
              </w:rPr>
            </w:pPr>
            <w:r>
              <w:rPr>
                <w:rFonts w:hint="eastAsia" w:ascii="宋体" w:hAnsi="宋体"/>
                <w:sz w:val="21"/>
                <w:szCs w:val="21"/>
                <w:lang w:val="en-US" w:eastAsia="zh-CN"/>
              </w:rPr>
              <w:t>5</w:t>
            </w:r>
          </w:p>
        </w:tc>
        <w:tc>
          <w:tcPr>
            <w:tcW w:w="1526" w:type="pct"/>
            <w:noWrap w:val="0"/>
            <w:vAlign w:val="top"/>
          </w:tcPr>
          <w:p>
            <w:pPr>
              <w:spacing w:line="360" w:lineRule="auto"/>
              <w:ind w:right="126" w:rightChars="60"/>
              <w:jc w:val="both"/>
              <w:rPr>
                <w:rFonts w:hint="eastAsia" w:ascii="宋体" w:hAnsi="宋体" w:eastAsia="宋体" w:cs="宋体"/>
                <w:spacing w:val="-6"/>
                <w:sz w:val="21"/>
                <w:szCs w:val="21"/>
                <w:lang w:val="en-US" w:eastAsia="zh-CN"/>
              </w:rPr>
            </w:pPr>
            <w:r>
              <w:rPr>
                <w:rFonts w:hint="eastAsia" w:ascii="宋体" w:hAnsi="宋体" w:eastAsia="宋体" w:cs="宋体"/>
                <w:sz w:val="21"/>
                <w:szCs w:val="21"/>
                <w:lang w:val="en-US" w:eastAsia="zh-CN"/>
              </w:rPr>
              <w:t>3#高压柜</w:t>
            </w:r>
          </w:p>
        </w:tc>
        <w:tc>
          <w:tcPr>
            <w:tcW w:w="944" w:type="pct"/>
            <w:noWrap w:val="0"/>
            <w:vAlign w:val="top"/>
          </w:tcPr>
          <w:p>
            <w:pPr>
              <w:jc w:val="center"/>
              <w:rPr>
                <w:rFonts w:hint="eastAsia" w:ascii="宋体" w:hAnsi="宋体" w:eastAsia="宋体" w:cs="宋体"/>
                <w:spacing w:val="-6"/>
                <w:sz w:val="21"/>
                <w:szCs w:val="21"/>
                <w:lang w:val="en-US" w:eastAsia="zh-CN"/>
              </w:rPr>
            </w:pPr>
            <w:r>
              <w:rPr>
                <w:rFonts w:hint="eastAsia" w:ascii="宋体" w:hAnsi="宋体" w:eastAsia="宋体" w:cs="宋体"/>
                <w:sz w:val="24"/>
                <w:szCs w:val="24"/>
                <w:lang w:val="en-US" w:eastAsia="zh-CN"/>
              </w:rPr>
              <w:t>HXGN11-12</w:t>
            </w:r>
          </w:p>
        </w:tc>
        <w:tc>
          <w:tcPr>
            <w:tcW w:w="448" w:type="pct"/>
            <w:noWrap w:val="0"/>
            <w:vAlign w:val="top"/>
          </w:tcPr>
          <w:p>
            <w:pPr>
              <w:jc w:val="center"/>
              <w:rPr>
                <w:rFonts w:hint="eastAsia" w:ascii="宋体" w:hAnsi="宋体"/>
                <w:sz w:val="21"/>
                <w:szCs w:val="21"/>
                <w:lang w:val="en-US" w:eastAsia="zh-CN"/>
              </w:rPr>
            </w:pPr>
          </w:p>
        </w:tc>
        <w:tc>
          <w:tcPr>
            <w:tcW w:w="668" w:type="pct"/>
            <w:noWrap w:val="0"/>
            <w:vAlign w:val="top"/>
          </w:tcPr>
          <w:p>
            <w:pPr>
              <w:jc w:val="center"/>
              <w:rPr>
                <w:rFonts w:hint="eastAsia" w:ascii="宋体" w:hAnsi="宋体" w:eastAsia="宋体" w:cs="宋体"/>
                <w:spacing w:val="-6"/>
                <w:sz w:val="21"/>
                <w:szCs w:val="21"/>
                <w:lang w:val="en-US" w:eastAsia="zh-CN"/>
              </w:rPr>
            </w:pPr>
            <w:r>
              <w:rPr>
                <w:rFonts w:hint="eastAsia" w:ascii="宋体" w:hAnsi="宋体" w:eastAsia="宋体" w:cs="宋体"/>
                <w:sz w:val="21"/>
                <w:szCs w:val="21"/>
                <w:lang w:val="en-US" w:eastAsia="zh-CN"/>
              </w:rPr>
              <w:t>1999.10</w:t>
            </w:r>
          </w:p>
        </w:tc>
        <w:tc>
          <w:tcPr>
            <w:tcW w:w="674" w:type="pct"/>
            <w:vMerge w:val="continue"/>
            <w:noWrap w:val="0"/>
            <w:vAlign w:val="top"/>
          </w:tcPr>
          <w:p>
            <w:pPr>
              <w:jc w:val="center"/>
              <w:rPr>
                <w:rFonts w:hint="eastAsia"/>
                <w:sz w:val="21"/>
                <w:szCs w:val="21"/>
                <w:lang w:val="en-US" w:eastAsia="zh-CN"/>
              </w:rPr>
            </w:pPr>
          </w:p>
        </w:tc>
        <w:tc>
          <w:tcPr>
            <w:tcW w:w="412" w:type="pct"/>
            <w:vMerge w:val="continue"/>
            <w:noWrap w:val="0"/>
            <w:vAlign w:val="top"/>
          </w:tcPr>
          <w:p>
            <w:pPr>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5" w:type="pct"/>
            <w:noWrap w:val="0"/>
            <w:vAlign w:val="top"/>
          </w:tcPr>
          <w:p>
            <w:pPr>
              <w:jc w:val="center"/>
              <w:rPr>
                <w:rFonts w:hint="eastAsia" w:ascii="宋体" w:hAnsi="宋体"/>
                <w:sz w:val="21"/>
                <w:szCs w:val="21"/>
                <w:lang w:val="en-US" w:eastAsia="zh-CN"/>
              </w:rPr>
            </w:pPr>
            <w:r>
              <w:rPr>
                <w:rFonts w:hint="eastAsia" w:ascii="宋体" w:hAnsi="宋体"/>
                <w:sz w:val="21"/>
                <w:szCs w:val="21"/>
                <w:lang w:val="en-US" w:eastAsia="zh-CN"/>
              </w:rPr>
              <w:t>6</w:t>
            </w:r>
          </w:p>
        </w:tc>
        <w:tc>
          <w:tcPr>
            <w:tcW w:w="1526" w:type="pct"/>
            <w:noWrap w:val="0"/>
            <w:vAlign w:val="top"/>
          </w:tcPr>
          <w:p>
            <w:pPr>
              <w:spacing w:line="360" w:lineRule="auto"/>
              <w:ind w:right="126" w:rightChars="60"/>
              <w:jc w:val="both"/>
              <w:rPr>
                <w:rFonts w:hint="eastAsia" w:ascii="宋体" w:hAnsi="宋体" w:eastAsia="宋体" w:cs="宋体"/>
                <w:spacing w:val="-6"/>
                <w:sz w:val="21"/>
                <w:szCs w:val="21"/>
                <w:lang w:val="en-US" w:eastAsia="zh-CN"/>
              </w:rPr>
            </w:pPr>
            <w:r>
              <w:rPr>
                <w:rFonts w:hint="eastAsia" w:ascii="宋体" w:hAnsi="宋体" w:eastAsia="宋体" w:cs="宋体"/>
                <w:sz w:val="21"/>
                <w:szCs w:val="21"/>
                <w:lang w:val="en-US" w:eastAsia="zh-CN"/>
              </w:rPr>
              <w:t>4#高压柜</w:t>
            </w:r>
          </w:p>
        </w:tc>
        <w:tc>
          <w:tcPr>
            <w:tcW w:w="944" w:type="pct"/>
            <w:noWrap w:val="0"/>
            <w:vAlign w:val="top"/>
          </w:tcPr>
          <w:p>
            <w:pPr>
              <w:jc w:val="center"/>
              <w:rPr>
                <w:rFonts w:hint="eastAsia" w:ascii="宋体" w:hAnsi="宋体" w:eastAsia="宋体" w:cs="宋体"/>
                <w:spacing w:val="-6"/>
                <w:sz w:val="21"/>
                <w:szCs w:val="21"/>
                <w:lang w:val="en-US" w:eastAsia="zh-CN"/>
              </w:rPr>
            </w:pPr>
            <w:r>
              <w:rPr>
                <w:rFonts w:hint="eastAsia" w:ascii="宋体" w:hAnsi="宋体" w:eastAsia="宋体" w:cs="宋体"/>
                <w:sz w:val="24"/>
                <w:szCs w:val="24"/>
                <w:lang w:val="en-US" w:eastAsia="zh-CN"/>
              </w:rPr>
              <w:t>HXGN11-12</w:t>
            </w:r>
          </w:p>
        </w:tc>
        <w:tc>
          <w:tcPr>
            <w:tcW w:w="448" w:type="pct"/>
            <w:noWrap w:val="0"/>
            <w:vAlign w:val="top"/>
          </w:tcPr>
          <w:p>
            <w:pPr>
              <w:jc w:val="center"/>
              <w:rPr>
                <w:rFonts w:hint="eastAsia" w:ascii="宋体" w:hAnsi="宋体"/>
                <w:sz w:val="21"/>
                <w:szCs w:val="21"/>
                <w:lang w:val="en-US" w:eastAsia="zh-CN"/>
              </w:rPr>
            </w:pPr>
          </w:p>
        </w:tc>
        <w:tc>
          <w:tcPr>
            <w:tcW w:w="668" w:type="pct"/>
            <w:noWrap w:val="0"/>
            <w:vAlign w:val="top"/>
          </w:tcPr>
          <w:p>
            <w:pPr>
              <w:jc w:val="center"/>
              <w:rPr>
                <w:rFonts w:hint="eastAsia" w:ascii="宋体" w:hAnsi="宋体" w:eastAsia="宋体" w:cs="宋体"/>
                <w:spacing w:val="-6"/>
                <w:sz w:val="21"/>
                <w:szCs w:val="21"/>
                <w:lang w:val="en-US" w:eastAsia="zh-CN"/>
              </w:rPr>
            </w:pPr>
            <w:r>
              <w:rPr>
                <w:rFonts w:hint="eastAsia" w:ascii="宋体" w:hAnsi="宋体" w:eastAsia="宋体" w:cs="宋体"/>
                <w:sz w:val="21"/>
                <w:szCs w:val="21"/>
                <w:lang w:val="en-US" w:eastAsia="zh-CN"/>
              </w:rPr>
              <w:t>1999.10</w:t>
            </w:r>
          </w:p>
        </w:tc>
        <w:tc>
          <w:tcPr>
            <w:tcW w:w="674" w:type="pct"/>
            <w:vMerge w:val="continue"/>
            <w:noWrap w:val="0"/>
            <w:vAlign w:val="top"/>
          </w:tcPr>
          <w:p>
            <w:pPr>
              <w:jc w:val="center"/>
              <w:rPr>
                <w:rFonts w:hint="eastAsia"/>
                <w:sz w:val="21"/>
                <w:szCs w:val="21"/>
                <w:lang w:val="en-US" w:eastAsia="zh-CN"/>
              </w:rPr>
            </w:pPr>
          </w:p>
        </w:tc>
        <w:tc>
          <w:tcPr>
            <w:tcW w:w="412" w:type="pct"/>
            <w:vMerge w:val="continue"/>
            <w:noWrap w:val="0"/>
            <w:vAlign w:val="top"/>
          </w:tcPr>
          <w:p>
            <w:pPr>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25" w:type="pct"/>
            <w:noWrap w:val="0"/>
            <w:vAlign w:val="top"/>
          </w:tcPr>
          <w:p>
            <w:pPr>
              <w:jc w:val="center"/>
              <w:rPr>
                <w:rFonts w:hint="default" w:ascii="宋体" w:hAnsi="宋体" w:eastAsia="宋体"/>
                <w:sz w:val="21"/>
                <w:szCs w:val="21"/>
                <w:lang w:val="en-US" w:eastAsia="zh-CN"/>
              </w:rPr>
            </w:pPr>
            <w:r>
              <w:rPr>
                <w:rFonts w:hint="eastAsia" w:ascii="宋体" w:hAnsi="宋体"/>
                <w:sz w:val="21"/>
                <w:szCs w:val="21"/>
                <w:lang w:val="en-US" w:eastAsia="zh-CN"/>
              </w:rPr>
              <w:t>7</w:t>
            </w:r>
          </w:p>
        </w:tc>
        <w:tc>
          <w:tcPr>
            <w:tcW w:w="1526" w:type="pct"/>
            <w:noWrap w:val="0"/>
            <w:vAlign w:val="top"/>
          </w:tcPr>
          <w:p>
            <w:pPr>
              <w:spacing w:line="360" w:lineRule="auto"/>
              <w:ind w:right="126" w:rightChars="60"/>
              <w:jc w:val="both"/>
              <w:rPr>
                <w:rFonts w:hint="eastAsia" w:ascii="宋体" w:hAnsi="宋体" w:eastAsia="宋体" w:cs="宋体"/>
                <w:sz w:val="21"/>
                <w:szCs w:val="21"/>
                <w:lang w:val="en-US" w:eastAsia="zh-CN"/>
              </w:rPr>
            </w:pPr>
            <w:r>
              <w:rPr>
                <w:rFonts w:hint="eastAsia" w:ascii="宋体" w:hAnsi="宋体" w:eastAsia="宋体" w:cs="宋体"/>
                <w:spacing w:val="-6"/>
                <w:sz w:val="21"/>
                <w:szCs w:val="21"/>
                <w:lang w:val="en-US" w:eastAsia="zh-CN"/>
              </w:rPr>
              <w:t>1#变压器630</w:t>
            </w:r>
            <w:r>
              <w:rPr>
                <w:rFonts w:hint="eastAsia"/>
                <w:b w:val="0"/>
                <w:bCs/>
                <w:sz w:val="21"/>
                <w:szCs w:val="21"/>
                <w:lang w:val="en-US" w:eastAsia="zh-CN"/>
              </w:rPr>
              <w:t>KVA</w:t>
            </w:r>
          </w:p>
        </w:tc>
        <w:tc>
          <w:tcPr>
            <w:tcW w:w="944" w:type="pct"/>
            <w:noWrap w:val="0"/>
            <w:vAlign w:val="top"/>
          </w:tcPr>
          <w:p>
            <w:pPr>
              <w:jc w:val="center"/>
              <w:rPr>
                <w:rFonts w:ascii="宋体" w:hAnsi="宋体"/>
                <w:sz w:val="21"/>
                <w:szCs w:val="21"/>
              </w:rPr>
            </w:pPr>
            <w:r>
              <w:rPr>
                <w:rFonts w:hint="eastAsia" w:ascii="宋体" w:hAnsi="宋体" w:eastAsia="宋体" w:cs="宋体"/>
                <w:spacing w:val="-6"/>
                <w:sz w:val="21"/>
                <w:szCs w:val="21"/>
                <w:lang w:val="en-US" w:eastAsia="zh-CN"/>
              </w:rPr>
              <w:t>SCB8-630/10</w:t>
            </w:r>
          </w:p>
        </w:tc>
        <w:tc>
          <w:tcPr>
            <w:tcW w:w="448" w:type="pct"/>
            <w:noWrap w:val="0"/>
            <w:vAlign w:val="top"/>
          </w:tcPr>
          <w:p>
            <w:pPr>
              <w:jc w:val="center"/>
              <w:rPr>
                <w:rFonts w:hint="eastAsia" w:ascii="宋体" w:hAnsi="宋体" w:eastAsia="宋体"/>
                <w:sz w:val="21"/>
                <w:szCs w:val="21"/>
                <w:lang w:val="en-US" w:eastAsia="zh-CN"/>
              </w:rPr>
            </w:pPr>
            <w:r>
              <w:rPr>
                <w:rFonts w:hint="eastAsia" w:ascii="宋体" w:hAnsi="宋体"/>
                <w:sz w:val="21"/>
                <w:szCs w:val="21"/>
                <w:lang w:val="en-US" w:eastAsia="zh-CN"/>
              </w:rPr>
              <w:t>1</w:t>
            </w:r>
          </w:p>
        </w:tc>
        <w:tc>
          <w:tcPr>
            <w:tcW w:w="668" w:type="pct"/>
            <w:noWrap w:val="0"/>
            <w:vAlign w:val="top"/>
          </w:tcPr>
          <w:p>
            <w:pPr>
              <w:jc w:val="center"/>
              <w:rPr>
                <w:rFonts w:hint="default" w:ascii="宋体" w:hAnsi="宋体"/>
                <w:sz w:val="21"/>
                <w:szCs w:val="21"/>
                <w:lang w:val="en-US"/>
              </w:rPr>
            </w:pPr>
            <w:r>
              <w:rPr>
                <w:rFonts w:hint="eastAsia" w:ascii="宋体" w:hAnsi="宋体" w:eastAsia="宋体" w:cs="宋体"/>
                <w:spacing w:val="-6"/>
                <w:sz w:val="21"/>
                <w:szCs w:val="21"/>
                <w:lang w:val="en-US" w:eastAsia="zh-CN"/>
              </w:rPr>
              <w:t>1999.7</w:t>
            </w:r>
          </w:p>
        </w:tc>
        <w:tc>
          <w:tcPr>
            <w:tcW w:w="674" w:type="pct"/>
            <w:vMerge w:val="continue"/>
            <w:noWrap w:val="0"/>
            <w:vAlign w:val="top"/>
          </w:tcPr>
          <w:p>
            <w:pPr>
              <w:jc w:val="center"/>
              <w:rPr>
                <w:rFonts w:ascii="宋体" w:hAnsi="宋体"/>
                <w:sz w:val="21"/>
                <w:szCs w:val="21"/>
              </w:rPr>
            </w:pPr>
          </w:p>
        </w:tc>
        <w:tc>
          <w:tcPr>
            <w:tcW w:w="412" w:type="pct"/>
            <w:vMerge w:val="continue"/>
            <w:noWrap w:val="0"/>
            <w:vAlign w:val="top"/>
          </w:tcPr>
          <w:p>
            <w:pPr>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5" w:type="pct"/>
            <w:noWrap w:val="0"/>
            <w:vAlign w:val="top"/>
          </w:tcPr>
          <w:p>
            <w:pPr>
              <w:jc w:val="center"/>
              <w:rPr>
                <w:rFonts w:hint="default" w:ascii="宋体" w:hAnsi="宋体" w:eastAsia="宋体"/>
                <w:sz w:val="21"/>
                <w:szCs w:val="21"/>
                <w:lang w:val="en-US" w:eastAsia="zh-CN"/>
              </w:rPr>
            </w:pPr>
            <w:r>
              <w:rPr>
                <w:rFonts w:hint="eastAsia" w:ascii="宋体" w:hAnsi="宋体"/>
                <w:sz w:val="21"/>
                <w:szCs w:val="21"/>
                <w:lang w:val="en-US" w:eastAsia="zh-CN"/>
              </w:rPr>
              <w:t>8</w:t>
            </w:r>
          </w:p>
        </w:tc>
        <w:tc>
          <w:tcPr>
            <w:tcW w:w="1526" w:type="pct"/>
            <w:noWrap w:val="0"/>
            <w:vAlign w:val="center"/>
          </w:tcPr>
          <w:p>
            <w:pPr>
              <w:spacing w:line="360" w:lineRule="exact"/>
              <w:ind w:right="126" w:rightChars="60"/>
              <w:jc w:val="left"/>
              <w:rPr>
                <w:rFonts w:hint="eastAsia" w:ascii="宋体" w:hAnsi="宋体" w:eastAsia="宋体" w:cs="宋体"/>
                <w:sz w:val="21"/>
                <w:szCs w:val="21"/>
                <w:lang w:val="en-US" w:eastAsia="zh-CN"/>
              </w:rPr>
            </w:pPr>
            <w:r>
              <w:rPr>
                <w:rFonts w:hint="eastAsia" w:ascii="宋体" w:hAnsi="宋体" w:eastAsia="宋体" w:cs="宋体"/>
                <w:spacing w:val="-6"/>
                <w:sz w:val="21"/>
                <w:szCs w:val="21"/>
                <w:lang w:val="en-US" w:eastAsia="zh-CN"/>
              </w:rPr>
              <w:t>1#低压进线柜</w:t>
            </w:r>
          </w:p>
        </w:tc>
        <w:tc>
          <w:tcPr>
            <w:tcW w:w="944" w:type="pct"/>
            <w:noWrap w:val="0"/>
            <w:vAlign w:val="center"/>
          </w:tcPr>
          <w:p>
            <w:pPr>
              <w:spacing w:line="360" w:lineRule="exact"/>
              <w:ind w:right="126" w:rightChars="60"/>
              <w:jc w:val="center"/>
              <w:rPr>
                <w:rFonts w:ascii="宋体" w:hAnsi="宋体"/>
                <w:sz w:val="21"/>
                <w:szCs w:val="21"/>
              </w:rPr>
            </w:pPr>
            <w:r>
              <w:rPr>
                <w:rFonts w:hint="eastAsia" w:ascii="宋体" w:hAnsi="宋体" w:eastAsia="宋体" w:cs="宋体"/>
                <w:spacing w:val="-20"/>
                <w:sz w:val="21"/>
                <w:szCs w:val="21"/>
                <w:lang w:val="en-US" w:eastAsia="zh-CN"/>
              </w:rPr>
              <w:t>GGD</w:t>
            </w:r>
            <w:r>
              <w:rPr>
                <w:rFonts w:hint="eastAsia" w:ascii="宋体" w:hAnsi="宋体" w:eastAsia="宋体" w:cs="宋体"/>
                <w:spacing w:val="-20"/>
                <w:sz w:val="13"/>
                <w:szCs w:val="13"/>
                <w:lang w:val="en-US" w:eastAsia="zh-CN"/>
              </w:rPr>
              <w:t xml:space="preserve">2 </w:t>
            </w:r>
            <w:r>
              <w:rPr>
                <w:rFonts w:hint="eastAsia" w:ascii="宋体" w:hAnsi="宋体" w:eastAsia="宋体" w:cs="宋体"/>
                <w:spacing w:val="-20"/>
                <w:sz w:val="21"/>
                <w:szCs w:val="21"/>
                <w:lang w:val="en-US" w:eastAsia="zh-CN"/>
              </w:rPr>
              <w:t>-13</w:t>
            </w:r>
          </w:p>
        </w:tc>
        <w:tc>
          <w:tcPr>
            <w:tcW w:w="448" w:type="pct"/>
            <w:noWrap w:val="0"/>
            <w:vAlign w:val="top"/>
          </w:tcPr>
          <w:p>
            <w:pPr>
              <w:jc w:val="center"/>
              <w:rPr>
                <w:rFonts w:hint="eastAsia" w:ascii="宋体" w:hAnsi="宋体" w:eastAsia="宋体"/>
                <w:sz w:val="21"/>
                <w:szCs w:val="21"/>
                <w:lang w:val="en-US" w:eastAsia="zh-CN"/>
              </w:rPr>
            </w:pPr>
            <w:r>
              <w:rPr>
                <w:rFonts w:hint="eastAsia" w:ascii="宋体" w:hAnsi="宋体"/>
                <w:sz w:val="21"/>
                <w:szCs w:val="21"/>
                <w:lang w:val="en-US" w:eastAsia="zh-CN"/>
              </w:rPr>
              <w:t>1</w:t>
            </w:r>
          </w:p>
        </w:tc>
        <w:tc>
          <w:tcPr>
            <w:tcW w:w="668" w:type="pct"/>
            <w:noWrap w:val="0"/>
            <w:vAlign w:val="center"/>
          </w:tcPr>
          <w:p>
            <w:pPr>
              <w:jc w:val="center"/>
              <w:rPr>
                <w:rFonts w:ascii="宋体" w:hAnsi="宋体"/>
                <w:sz w:val="21"/>
                <w:szCs w:val="21"/>
              </w:rPr>
            </w:pPr>
            <w:r>
              <w:rPr>
                <w:rFonts w:hint="eastAsia" w:ascii="宋体" w:hAnsi="宋体" w:eastAsia="宋体" w:cs="宋体"/>
                <w:sz w:val="21"/>
                <w:szCs w:val="21"/>
                <w:lang w:val="en-US" w:eastAsia="zh-CN"/>
              </w:rPr>
              <w:t>1999.10</w:t>
            </w:r>
          </w:p>
        </w:tc>
        <w:tc>
          <w:tcPr>
            <w:tcW w:w="674" w:type="pct"/>
            <w:vMerge w:val="continue"/>
            <w:noWrap w:val="0"/>
            <w:vAlign w:val="top"/>
          </w:tcPr>
          <w:p>
            <w:pPr>
              <w:jc w:val="center"/>
              <w:rPr>
                <w:rFonts w:ascii="宋体" w:hAnsi="宋体"/>
                <w:sz w:val="21"/>
                <w:szCs w:val="21"/>
              </w:rPr>
            </w:pPr>
          </w:p>
        </w:tc>
        <w:tc>
          <w:tcPr>
            <w:tcW w:w="412" w:type="pct"/>
            <w:vMerge w:val="continue"/>
            <w:noWrap w:val="0"/>
            <w:vAlign w:val="top"/>
          </w:tcPr>
          <w:p>
            <w:pPr>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5" w:type="pct"/>
            <w:noWrap w:val="0"/>
            <w:vAlign w:val="top"/>
          </w:tcPr>
          <w:p>
            <w:pPr>
              <w:jc w:val="center"/>
              <w:rPr>
                <w:rFonts w:hint="default" w:ascii="宋体" w:hAnsi="宋体" w:eastAsia="宋体"/>
                <w:sz w:val="21"/>
                <w:szCs w:val="21"/>
                <w:lang w:val="en-US" w:eastAsia="zh-CN"/>
              </w:rPr>
            </w:pPr>
            <w:r>
              <w:rPr>
                <w:rFonts w:hint="eastAsia" w:ascii="宋体" w:hAnsi="宋体"/>
                <w:sz w:val="21"/>
                <w:szCs w:val="21"/>
                <w:lang w:val="en-US" w:eastAsia="zh-CN"/>
              </w:rPr>
              <w:t>9</w:t>
            </w:r>
          </w:p>
        </w:tc>
        <w:tc>
          <w:tcPr>
            <w:tcW w:w="1526" w:type="pct"/>
            <w:noWrap w:val="0"/>
            <w:vAlign w:val="center"/>
          </w:tcPr>
          <w:p>
            <w:pPr>
              <w:spacing w:line="360" w:lineRule="exact"/>
              <w:ind w:right="126" w:rightChars="60"/>
              <w:jc w:val="left"/>
              <w:rPr>
                <w:rFonts w:hint="eastAsia" w:ascii="宋体" w:hAnsi="宋体" w:eastAsia="宋体" w:cs="宋体"/>
                <w:sz w:val="21"/>
                <w:szCs w:val="21"/>
                <w:lang w:val="en-US" w:eastAsia="zh-CN"/>
              </w:rPr>
            </w:pPr>
            <w:r>
              <w:rPr>
                <w:rFonts w:hint="eastAsia" w:ascii="宋体" w:hAnsi="宋体" w:eastAsia="宋体" w:cs="宋体"/>
                <w:spacing w:val="-6"/>
                <w:sz w:val="21"/>
                <w:szCs w:val="21"/>
                <w:lang w:val="en-US" w:eastAsia="zh-CN"/>
              </w:rPr>
              <w:t>2#低压补偿柜</w:t>
            </w:r>
          </w:p>
        </w:tc>
        <w:tc>
          <w:tcPr>
            <w:tcW w:w="944" w:type="pct"/>
            <w:noWrap w:val="0"/>
            <w:vAlign w:val="center"/>
          </w:tcPr>
          <w:p>
            <w:pPr>
              <w:spacing w:line="360" w:lineRule="exact"/>
              <w:ind w:right="126" w:rightChars="60"/>
              <w:jc w:val="center"/>
              <w:rPr>
                <w:rFonts w:ascii="宋体" w:hAnsi="宋体"/>
                <w:sz w:val="21"/>
                <w:szCs w:val="21"/>
              </w:rPr>
            </w:pPr>
            <w:r>
              <w:rPr>
                <w:rFonts w:hint="eastAsia" w:ascii="宋体" w:hAnsi="宋体" w:eastAsia="宋体" w:cs="宋体"/>
                <w:sz w:val="21"/>
                <w:szCs w:val="21"/>
                <w:lang w:val="en-US" w:eastAsia="zh-CN"/>
              </w:rPr>
              <w:t>GGJ</w:t>
            </w:r>
            <w:r>
              <w:rPr>
                <w:rFonts w:hint="eastAsia" w:ascii="宋体" w:hAnsi="宋体" w:eastAsia="宋体" w:cs="宋体"/>
                <w:sz w:val="13"/>
                <w:szCs w:val="13"/>
                <w:lang w:val="en-US" w:eastAsia="zh-CN"/>
              </w:rPr>
              <w:t>c</w:t>
            </w:r>
            <w:r>
              <w:rPr>
                <w:rFonts w:hint="eastAsia" w:ascii="宋体" w:hAnsi="宋体" w:eastAsia="宋体" w:cs="宋体"/>
                <w:sz w:val="21"/>
                <w:szCs w:val="21"/>
                <w:lang w:val="en-US" w:eastAsia="zh-CN"/>
              </w:rPr>
              <w:t>-01</w:t>
            </w:r>
          </w:p>
        </w:tc>
        <w:tc>
          <w:tcPr>
            <w:tcW w:w="448" w:type="pct"/>
            <w:noWrap w:val="0"/>
            <w:vAlign w:val="top"/>
          </w:tcPr>
          <w:p>
            <w:pPr>
              <w:jc w:val="center"/>
              <w:rPr>
                <w:rFonts w:hint="eastAsia" w:ascii="宋体" w:hAnsi="宋体" w:eastAsia="宋体"/>
                <w:sz w:val="21"/>
                <w:szCs w:val="21"/>
                <w:lang w:val="en-US" w:eastAsia="zh-CN"/>
              </w:rPr>
            </w:pPr>
            <w:r>
              <w:rPr>
                <w:rFonts w:hint="eastAsia" w:ascii="宋体" w:hAnsi="宋体"/>
                <w:sz w:val="21"/>
                <w:szCs w:val="21"/>
                <w:lang w:val="en-US" w:eastAsia="zh-CN"/>
              </w:rPr>
              <w:t>1</w:t>
            </w:r>
          </w:p>
        </w:tc>
        <w:tc>
          <w:tcPr>
            <w:tcW w:w="668" w:type="pct"/>
            <w:noWrap w:val="0"/>
            <w:vAlign w:val="center"/>
          </w:tcPr>
          <w:p>
            <w:pPr>
              <w:jc w:val="center"/>
              <w:rPr>
                <w:rFonts w:ascii="宋体" w:hAnsi="宋体"/>
                <w:sz w:val="21"/>
                <w:szCs w:val="21"/>
              </w:rPr>
            </w:pPr>
            <w:r>
              <w:rPr>
                <w:rFonts w:hint="eastAsia" w:ascii="宋体" w:hAnsi="宋体" w:eastAsia="宋体" w:cs="宋体"/>
                <w:sz w:val="21"/>
                <w:szCs w:val="21"/>
                <w:lang w:val="en-US" w:eastAsia="zh-CN"/>
              </w:rPr>
              <w:t>1999.10</w:t>
            </w:r>
          </w:p>
        </w:tc>
        <w:tc>
          <w:tcPr>
            <w:tcW w:w="674" w:type="pct"/>
            <w:vMerge w:val="continue"/>
            <w:noWrap w:val="0"/>
            <w:vAlign w:val="top"/>
          </w:tcPr>
          <w:p>
            <w:pPr>
              <w:jc w:val="center"/>
              <w:rPr>
                <w:rFonts w:ascii="宋体" w:hAnsi="宋体"/>
                <w:sz w:val="21"/>
                <w:szCs w:val="21"/>
              </w:rPr>
            </w:pPr>
          </w:p>
        </w:tc>
        <w:tc>
          <w:tcPr>
            <w:tcW w:w="412" w:type="pct"/>
            <w:vMerge w:val="continue"/>
            <w:noWrap w:val="0"/>
            <w:vAlign w:val="top"/>
          </w:tcPr>
          <w:p>
            <w:pPr>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5" w:type="pct"/>
            <w:noWrap w:val="0"/>
            <w:vAlign w:val="top"/>
          </w:tcPr>
          <w:p>
            <w:pPr>
              <w:jc w:val="center"/>
              <w:rPr>
                <w:rFonts w:hint="default" w:ascii="宋体" w:hAnsi="宋体" w:eastAsia="宋体"/>
                <w:sz w:val="21"/>
                <w:szCs w:val="21"/>
                <w:lang w:val="en-US" w:eastAsia="zh-CN"/>
              </w:rPr>
            </w:pPr>
            <w:r>
              <w:rPr>
                <w:rFonts w:hint="eastAsia" w:ascii="宋体" w:hAnsi="宋体"/>
                <w:sz w:val="21"/>
                <w:szCs w:val="21"/>
                <w:lang w:val="en-US" w:eastAsia="zh-CN"/>
              </w:rPr>
              <w:t>10</w:t>
            </w:r>
          </w:p>
        </w:tc>
        <w:tc>
          <w:tcPr>
            <w:tcW w:w="1526" w:type="pct"/>
            <w:noWrap w:val="0"/>
            <w:vAlign w:val="center"/>
          </w:tcPr>
          <w:p>
            <w:pPr>
              <w:spacing w:line="360" w:lineRule="exact"/>
              <w:ind w:right="126" w:rightChars="60"/>
              <w:jc w:val="left"/>
              <w:rPr>
                <w:rFonts w:hint="eastAsia" w:ascii="宋体" w:hAnsi="宋体" w:eastAsia="宋体" w:cs="宋体"/>
                <w:sz w:val="21"/>
                <w:szCs w:val="21"/>
                <w:lang w:val="en-US" w:eastAsia="zh-CN"/>
              </w:rPr>
            </w:pPr>
            <w:r>
              <w:rPr>
                <w:rFonts w:hint="eastAsia" w:ascii="宋体" w:hAnsi="宋体" w:eastAsia="宋体" w:cs="宋体"/>
                <w:spacing w:val="-6"/>
                <w:sz w:val="21"/>
                <w:szCs w:val="21"/>
                <w:lang w:val="en-US" w:eastAsia="zh-CN"/>
              </w:rPr>
              <w:t>3低压#出线柜</w:t>
            </w:r>
          </w:p>
        </w:tc>
        <w:tc>
          <w:tcPr>
            <w:tcW w:w="944" w:type="pct"/>
            <w:noWrap w:val="0"/>
            <w:vAlign w:val="center"/>
          </w:tcPr>
          <w:p>
            <w:pPr>
              <w:spacing w:line="360" w:lineRule="exact"/>
              <w:ind w:right="126" w:rightChars="60"/>
              <w:jc w:val="center"/>
              <w:rPr>
                <w:rFonts w:ascii="宋体" w:hAnsi="宋体"/>
                <w:sz w:val="21"/>
                <w:szCs w:val="21"/>
              </w:rPr>
            </w:pPr>
            <w:r>
              <w:rPr>
                <w:rFonts w:hint="eastAsia" w:ascii="宋体" w:hAnsi="宋体" w:eastAsia="宋体" w:cs="宋体"/>
                <w:spacing w:val="-20"/>
                <w:sz w:val="21"/>
                <w:szCs w:val="21"/>
                <w:lang w:val="en-US" w:eastAsia="zh-CN"/>
              </w:rPr>
              <w:t>GGD</w:t>
            </w:r>
            <w:r>
              <w:rPr>
                <w:rFonts w:hint="eastAsia" w:ascii="宋体" w:hAnsi="宋体" w:eastAsia="宋体" w:cs="宋体"/>
                <w:spacing w:val="-20"/>
                <w:sz w:val="13"/>
                <w:szCs w:val="13"/>
                <w:lang w:val="en-US" w:eastAsia="zh-CN"/>
              </w:rPr>
              <w:t xml:space="preserve">2 </w:t>
            </w:r>
            <w:r>
              <w:rPr>
                <w:rFonts w:hint="eastAsia" w:ascii="宋体" w:hAnsi="宋体" w:eastAsia="宋体" w:cs="宋体"/>
                <w:spacing w:val="-20"/>
                <w:sz w:val="21"/>
                <w:szCs w:val="21"/>
                <w:lang w:val="en-US" w:eastAsia="zh-CN"/>
              </w:rPr>
              <w:t>-66</w:t>
            </w:r>
          </w:p>
        </w:tc>
        <w:tc>
          <w:tcPr>
            <w:tcW w:w="448" w:type="pct"/>
            <w:noWrap w:val="0"/>
            <w:vAlign w:val="top"/>
          </w:tcPr>
          <w:p>
            <w:pPr>
              <w:jc w:val="center"/>
              <w:rPr>
                <w:rFonts w:hint="eastAsia" w:ascii="宋体" w:hAnsi="宋体" w:eastAsia="宋体"/>
                <w:sz w:val="21"/>
                <w:szCs w:val="21"/>
                <w:lang w:val="en-US" w:eastAsia="zh-CN"/>
              </w:rPr>
            </w:pPr>
            <w:r>
              <w:rPr>
                <w:rFonts w:hint="eastAsia" w:ascii="宋体" w:hAnsi="宋体"/>
                <w:sz w:val="21"/>
                <w:szCs w:val="21"/>
                <w:lang w:val="en-US" w:eastAsia="zh-CN"/>
              </w:rPr>
              <w:t>1</w:t>
            </w:r>
          </w:p>
        </w:tc>
        <w:tc>
          <w:tcPr>
            <w:tcW w:w="668" w:type="pct"/>
            <w:noWrap w:val="0"/>
            <w:vAlign w:val="center"/>
          </w:tcPr>
          <w:p>
            <w:pPr>
              <w:jc w:val="center"/>
              <w:rPr>
                <w:rFonts w:hint="default" w:ascii="宋体" w:hAnsi="宋体"/>
                <w:sz w:val="21"/>
                <w:szCs w:val="21"/>
                <w:lang w:val="en-US"/>
              </w:rPr>
            </w:pPr>
            <w:r>
              <w:rPr>
                <w:rFonts w:hint="eastAsia" w:ascii="宋体" w:hAnsi="宋体" w:eastAsia="宋体" w:cs="宋体"/>
                <w:sz w:val="21"/>
                <w:szCs w:val="21"/>
                <w:lang w:val="en-US" w:eastAsia="zh-CN"/>
              </w:rPr>
              <w:t>1999.10</w:t>
            </w:r>
          </w:p>
        </w:tc>
        <w:tc>
          <w:tcPr>
            <w:tcW w:w="674" w:type="pct"/>
            <w:vMerge w:val="continue"/>
            <w:noWrap w:val="0"/>
            <w:vAlign w:val="top"/>
          </w:tcPr>
          <w:p>
            <w:pPr>
              <w:jc w:val="center"/>
              <w:rPr>
                <w:rFonts w:ascii="宋体" w:hAnsi="宋体"/>
                <w:sz w:val="21"/>
                <w:szCs w:val="21"/>
              </w:rPr>
            </w:pPr>
          </w:p>
        </w:tc>
        <w:tc>
          <w:tcPr>
            <w:tcW w:w="412" w:type="pct"/>
            <w:vMerge w:val="continue"/>
            <w:noWrap w:val="0"/>
            <w:vAlign w:val="top"/>
          </w:tcPr>
          <w:p>
            <w:pPr>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25" w:type="pct"/>
            <w:noWrap w:val="0"/>
            <w:vAlign w:val="top"/>
          </w:tcPr>
          <w:p>
            <w:pPr>
              <w:jc w:val="center"/>
              <w:rPr>
                <w:rFonts w:hint="default" w:ascii="宋体" w:hAnsi="宋体" w:eastAsia="宋体"/>
                <w:sz w:val="21"/>
                <w:szCs w:val="21"/>
                <w:lang w:val="en-US" w:eastAsia="zh-CN"/>
              </w:rPr>
            </w:pPr>
            <w:r>
              <w:rPr>
                <w:rFonts w:hint="eastAsia" w:ascii="宋体" w:hAnsi="宋体"/>
                <w:sz w:val="21"/>
                <w:szCs w:val="21"/>
                <w:lang w:val="en-US" w:eastAsia="zh-CN"/>
              </w:rPr>
              <w:t>11</w:t>
            </w:r>
          </w:p>
        </w:tc>
        <w:tc>
          <w:tcPr>
            <w:tcW w:w="1526" w:type="pct"/>
            <w:noWrap w:val="0"/>
            <w:vAlign w:val="center"/>
          </w:tcPr>
          <w:p>
            <w:pPr>
              <w:spacing w:line="360" w:lineRule="exact"/>
              <w:ind w:right="126" w:rightChars="60"/>
              <w:jc w:val="left"/>
              <w:rPr>
                <w:rFonts w:hint="eastAsia" w:ascii="宋体" w:hAnsi="宋体" w:eastAsia="宋体" w:cs="宋体"/>
                <w:sz w:val="21"/>
                <w:szCs w:val="21"/>
                <w:lang w:val="en-US" w:eastAsia="zh-CN"/>
              </w:rPr>
            </w:pPr>
            <w:r>
              <w:rPr>
                <w:rFonts w:hint="eastAsia" w:ascii="宋体" w:hAnsi="宋体" w:eastAsia="宋体" w:cs="宋体"/>
                <w:spacing w:val="-6"/>
                <w:sz w:val="21"/>
                <w:szCs w:val="21"/>
                <w:lang w:val="en-US" w:eastAsia="zh-CN"/>
              </w:rPr>
              <w:t>4#低压出线柜</w:t>
            </w:r>
          </w:p>
        </w:tc>
        <w:tc>
          <w:tcPr>
            <w:tcW w:w="944" w:type="pct"/>
            <w:noWrap w:val="0"/>
            <w:vAlign w:val="center"/>
          </w:tcPr>
          <w:p>
            <w:pPr>
              <w:spacing w:line="360" w:lineRule="exact"/>
              <w:ind w:right="126" w:rightChars="60"/>
              <w:jc w:val="center"/>
              <w:rPr>
                <w:rFonts w:ascii="宋体" w:hAnsi="宋体"/>
                <w:sz w:val="21"/>
                <w:szCs w:val="21"/>
              </w:rPr>
            </w:pPr>
            <w:r>
              <w:rPr>
                <w:rFonts w:hint="eastAsia" w:ascii="宋体" w:hAnsi="宋体" w:eastAsia="宋体" w:cs="宋体"/>
                <w:spacing w:val="-20"/>
                <w:sz w:val="21"/>
                <w:szCs w:val="21"/>
                <w:lang w:val="en-US" w:eastAsia="zh-CN"/>
              </w:rPr>
              <w:t>GGD</w:t>
            </w:r>
            <w:r>
              <w:rPr>
                <w:rFonts w:hint="eastAsia" w:ascii="宋体" w:hAnsi="宋体" w:eastAsia="宋体" w:cs="宋体"/>
                <w:spacing w:val="-20"/>
                <w:sz w:val="13"/>
                <w:szCs w:val="13"/>
                <w:lang w:val="en-US" w:eastAsia="zh-CN"/>
              </w:rPr>
              <w:t xml:space="preserve">2 </w:t>
            </w:r>
            <w:r>
              <w:rPr>
                <w:rFonts w:hint="eastAsia" w:ascii="宋体" w:hAnsi="宋体" w:eastAsia="宋体" w:cs="宋体"/>
                <w:spacing w:val="-20"/>
                <w:sz w:val="21"/>
                <w:szCs w:val="21"/>
                <w:lang w:val="en-US" w:eastAsia="zh-CN"/>
              </w:rPr>
              <w:t>-36</w:t>
            </w:r>
          </w:p>
        </w:tc>
        <w:tc>
          <w:tcPr>
            <w:tcW w:w="448" w:type="pct"/>
            <w:noWrap w:val="0"/>
            <w:vAlign w:val="top"/>
          </w:tcPr>
          <w:p>
            <w:pPr>
              <w:jc w:val="center"/>
              <w:rPr>
                <w:rFonts w:hint="eastAsia" w:ascii="宋体" w:hAnsi="宋体" w:eastAsia="宋体"/>
                <w:sz w:val="21"/>
                <w:szCs w:val="21"/>
                <w:lang w:val="en-US" w:eastAsia="zh-CN"/>
              </w:rPr>
            </w:pPr>
            <w:r>
              <w:rPr>
                <w:rFonts w:hint="eastAsia" w:ascii="宋体" w:hAnsi="宋体"/>
                <w:sz w:val="21"/>
                <w:szCs w:val="21"/>
                <w:lang w:val="en-US" w:eastAsia="zh-CN"/>
              </w:rPr>
              <w:t>1</w:t>
            </w:r>
          </w:p>
        </w:tc>
        <w:tc>
          <w:tcPr>
            <w:tcW w:w="668" w:type="pct"/>
            <w:noWrap w:val="0"/>
            <w:vAlign w:val="center"/>
          </w:tcPr>
          <w:p>
            <w:pPr>
              <w:jc w:val="center"/>
              <w:rPr>
                <w:rFonts w:ascii="宋体" w:hAnsi="宋体"/>
                <w:sz w:val="21"/>
                <w:szCs w:val="21"/>
              </w:rPr>
            </w:pPr>
            <w:r>
              <w:rPr>
                <w:rFonts w:hint="eastAsia" w:ascii="宋体" w:hAnsi="宋体" w:eastAsia="宋体" w:cs="宋体"/>
                <w:sz w:val="21"/>
                <w:szCs w:val="21"/>
                <w:lang w:val="en-US" w:eastAsia="zh-CN"/>
              </w:rPr>
              <w:t>1999.10</w:t>
            </w:r>
          </w:p>
        </w:tc>
        <w:tc>
          <w:tcPr>
            <w:tcW w:w="674" w:type="pct"/>
            <w:vMerge w:val="continue"/>
            <w:noWrap w:val="0"/>
            <w:vAlign w:val="top"/>
          </w:tcPr>
          <w:p>
            <w:pPr>
              <w:jc w:val="center"/>
              <w:rPr>
                <w:rFonts w:ascii="宋体" w:hAnsi="宋体"/>
                <w:sz w:val="21"/>
                <w:szCs w:val="21"/>
              </w:rPr>
            </w:pPr>
          </w:p>
        </w:tc>
        <w:tc>
          <w:tcPr>
            <w:tcW w:w="412" w:type="pct"/>
            <w:vMerge w:val="continue"/>
            <w:noWrap w:val="0"/>
            <w:vAlign w:val="top"/>
          </w:tcPr>
          <w:p>
            <w:pPr>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5" w:type="pct"/>
            <w:noWrap w:val="0"/>
            <w:vAlign w:val="top"/>
          </w:tcPr>
          <w:p>
            <w:pPr>
              <w:jc w:val="center"/>
              <w:rPr>
                <w:rFonts w:hint="default" w:ascii="宋体" w:hAnsi="宋体" w:eastAsia="宋体"/>
                <w:sz w:val="21"/>
                <w:szCs w:val="21"/>
                <w:lang w:val="en-US" w:eastAsia="zh-CN"/>
              </w:rPr>
            </w:pPr>
            <w:r>
              <w:rPr>
                <w:rFonts w:hint="eastAsia" w:ascii="宋体" w:hAnsi="宋体"/>
                <w:sz w:val="21"/>
                <w:szCs w:val="21"/>
                <w:lang w:val="en-US" w:eastAsia="zh-CN"/>
              </w:rPr>
              <w:t>12</w:t>
            </w:r>
          </w:p>
        </w:tc>
        <w:tc>
          <w:tcPr>
            <w:tcW w:w="1526" w:type="pct"/>
            <w:noWrap w:val="0"/>
            <w:vAlign w:val="center"/>
          </w:tcPr>
          <w:p>
            <w:pPr>
              <w:spacing w:line="360" w:lineRule="exact"/>
              <w:ind w:right="126" w:rightChars="60"/>
              <w:jc w:val="left"/>
              <w:rPr>
                <w:rFonts w:hint="eastAsia" w:ascii="宋体" w:hAnsi="宋体" w:eastAsia="宋体" w:cs="宋体"/>
                <w:sz w:val="21"/>
                <w:szCs w:val="21"/>
                <w:lang w:val="en-US" w:eastAsia="zh-CN"/>
              </w:rPr>
            </w:pPr>
            <w:r>
              <w:rPr>
                <w:rFonts w:hint="eastAsia" w:ascii="宋体" w:hAnsi="宋体" w:eastAsia="宋体" w:cs="宋体"/>
                <w:spacing w:val="-6"/>
                <w:sz w:val="21"/>
                <w:szCs w:val="21"/>
                <w:lang w:val="en-US" w:eastAsia="zh-CN"/>
              </w:rPr>
              <w:t>5#低压出线柜</w:t>
            </w:r>
          </w:p>
        </w:tc>
        <w:tc>
          <w:tcPr>
            <w:tcW w:w="944" w:type="pct"/>
            <w:noWrap w:val="0"/>
            <w:vAlign w:val="center"/>
          </w:tcPr>
          <w:p>
            <w:pPr>
              <w:spacing w:line="360" w:lineRule="exact"/>
              <w:ind w:right="126" w:rightChars="60"/>
              <w:jc w:val="center"/>
              <w:rPr>
                <w:rFonts w:ascii="宋体" w:hAnsi="宋体"/>
                <w:sz w:val="21"/>
                <w:szCs w:val="21"/>
              </w:rPr>
            </w:pPr>
            <w:r>
              <w:rPr>
                <w:rFonts w:hint="eastAsia" w:ascii="宋体" w:hAnsi="宋体" w:eastAsia="宋体" w:cs="宋体"/>
                <w:spacing w:val="-20"/>
                <w:sz w:val="21"/>
                <w:szCs w:val="21"/>
                <w:lang w:val="en-US" w:eastAsia="zh-CN"/>
              </w:rPr>
              <w:t>GGD</w:t>
            </w:r>
            <w:r>
              <w:rPr>
                <w:rFonts w:hint="eastAsia" w:ascii="宋体" w:hAnsi="宋体" w:eastAsia="宋体" w:cs="宋体"/>
                <w:spacing w:val="-20"/>
                <w:sz w:val="13"/>
                <w:szCs w:val="13"/>
                <w:lang w:val="en-US" w:eastAsia="zh-CN"/>
              </w:rPr>
              <w:t xml:space="preserve">2 </w:t>
            </w:r>
            <w:r>
              <w:rPr>
                <w:rFonts w:hint="eastAsia" w:ascii="宋体" w:hAnsi="宋体" w:eastAsia="宋体" w:cs="宋体"/>
                <w:spacing w:val="-20"/>
                <w:sz w:val="21"/>
                <w:szCs w:val="21"/>
                <w:lang w:val="en-US" w:eastAsia="zh-CN"/>
              </w:rPr>
              <w:t>-36</w:t>
            </w:r>
          </w:p>
        </w:tc>
        <w:tc>
          <w:tcPr>
            <w:tcW w:w="448" w:type="pct"/>
            <w:noWrap w:val="0"/>
            <w:vAlign w:val="top"/>
          </w:tcPr>
          <w:p>
            <w:pPr>
              <w:jc w:val="center"/>
              <w:rPr>
                <w:rFonts w:hint="eastAsia" w:ascii="宋体" w:hAnsi="宋体" w:eastAsia="宋体"/>
                <w:sz w:val="21"/>
                <w:szCs w:val="21"/>
                <w:lang w:val="en-US" w:eastAsia="zh-CN"/>
              </w:rPr>
            </w:pPr>
            <w:r>
              <w:rPr>
                <w:rFonts w:hint="eastAsia" w:ascii="宋体" w:hAnsi="宋体"/>
                <w:sz w:val="21"/>
                <w:szCs w:val="21"/>
                <w:lang w:val="en-US" w:eastAsia="zh-CN"/>
              </w:rPr>
              <w:t>1</w:t>
            </w:r>
          </w:p>
        </w:tc>
        <w:tc>
          <w:tcPr>
            <w:tcW w:w="668" w:type="pct"/>
            <w:noWrap w:val="0"/>
            <w:vAlign w:val="center"/>
          </w:tcPr>
          <w:p>
            <w:pPr>
              <w:jc w:val="center"/>
              <w:rPr>
                <w:rFonts w:ascii="宋体" w:hAnsi="宋体"/>
                <w:sz w:val="21"/>
                <w:szCs w:val="21"/>
              </w:rPr>
            </w:pPr>
            <w:r>
              <w:rPr>
                <w:rFonts w:hint="eastAsia" w:ascii="宋体" w:hAnsi="宋体" w:eastAsia="宋体" w:cs="宋体"/>
                <w:sz w:val="21"/>
                <w:szCs w:val="21"/>
                <w:lang w:val="en-US" w:eastAsia="zh-CN"/>
              </w:rPr>
              <w:t>1999.10</w:t>
            </w:r>
          </w:p>
        </w:tc>
        <w:tc>
          <w:tcPr>
            <w:tcW w:w="674" w:type="pct"/>
            <w:vMerge w:val="continue"/>
            <w:noWrap w:val="0"/>
            <w:vAlign w:val="top"/>
          </w:tcPr>
          <w:p>
            <w:pPr>
              <w:jc w:val="center"/>
              <w:rPr>
                <w:rFonts w:ascii="宋体" w:hAnsi="宋体"/>
                <w:sz w:val="21"/>
                <w:szCs w:val="21"/>
              </w:rPr>
            </w:pPr>
          </w:p>
        </w:tc>
        <w:tc>
          <w:tcPr>
            <w:tcW w:w="412" w:type="pct"/>
            <w:vMerge w:val="continue"/>
            <w:noWrap w:val="0"/>
            <w:vAlign w:val="top"/>
          </w:tcPr>
          <w:p>
            <w:pPr>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5" w:type="pct"/>
            <w:noWrap w:val="0"/>
            <w:vAlign w:val="top"/>
          </w:tcPr>
          <w:p>
            <w:pPr>
              <w:jc w:val="center"/>
              <w:rPr>
                <w:rFonts w:hint="default" w:ascii="宋体" w:hAnsi="宋体" w:eastAsia="宋体"/>
                <w:sz w:val="21"/>
                <w:szCs w:val="21"/>
                <w:lang w:val="en-US" w:eastAsia="zh-CN"/>
              </w:rPr>
            </w:pPr>
            <w:r>
              <w:rPr>
                <w:rFonts w:hint="eastAsia" w:ascii="宋体" w:hAnsi="宋体"/>
                <w:sz w:val="21"/>
                <w:szCs w:val="21"/>
                <w:lang w:val="en-US" w:eastAsia="zh-CN"/>
              </w:rPr>
              <w:t>13</w:t>
            </w:r>
          </w:p>
        </w:tc>
        <w:tc>
          <w:tcPr>
            <w:tcW w:w="1526" w:type="pct"/>
            <w:noWrap w:val="0"/>
            <w:vAlign w:val="center"/>
          </w:tcPr>
          <w:p>
            <w:pPr>
              <w:spacing w:line="360" w:lineRule="exact"/>
              <w:ind w:right="126" w:rightChars="60"/>
              <w:jc w:val="left"/>
              <w:rPr>
                <w:rFonts w:hint="eastAsia" w:ascii="宋体" w:hAnsi="宋体" w:eastAsia="宋体" w:cs="宋体"/>
                <w:sz w:val="21"/>
                <w:szCs w:val="21"/>
                <w:lang w:val="en-US" w:eastAsia="zh-CN"/>
              </w:rPr>
            </w:pPr>
            <w:r>
              <w:rPr>
                <w:rFonts w:hint="eastAsia" w:ascii="宋体" w:hAnsi="宋体" w:eastAsia="宋体" w:cs="宋体"/>
                <w:spacing w:val="-6"/>
                <w:sz w:val="21"/>
                <w:szCs w:val="21"/>
                <w:lang w:val="en-US" w:eastAsia="zh-CN"/>
              </w:rPr>
              <w:t>6#低压出线柜</w:t>
            </w:r>
          </w:p>
        </w:tc>
        <w:tc>
          <w:tcPr>
            <w:tcW w:w="944" w:type="pct"/>
            <w:noWrap w:val="0"/>
            <w:vAlign w:val="center"/>
          </w:tcPr>
          <w:p>
            <w:pPr>
              <w:spacing w:line="360" w:lineRule="exact"/>
              <w:ind w:right="126" w:rightChars="60"/>
              <w:jc w:val="center"/>
              <w:rPr>
                <w:rFonts w:ascii="宋体" w:hAnsi="宋体"/>
                <w:sz w:val="21"/>
                <w:szCs w:val="21"/>
              </w:rPr>
            </w:pPr>
            <w:r>
              <w:rPr>
                <w:rFonts w:hint="eastAsia" w:ascii="宋体" w:hAnsi="宋体" w:eastAsia="宋体" w:cs="宋体"/>
                <w:spacing w:val="-20"/>
                <w:sz w:val="21"/>
                <w:szCs w:val="21"/>
                <w:lang w:val="en-US" w:eastAsia="zh-CN"/>
              </w:rPr>
              <w:t>GGD</w:t>
            </w:r>
            <w:r>
              <w:rPr>
                <w:rFonts w:hint="eastAsia" w:ascii="宋体" w:hAnsi="宋体" w:eastAsia="宋体" w:cs="宋体"/>
                <w:spacing w:val="-20"/>
                <w:sz w:val="13"/>
                <w:szCs w:val="13"/>
                <w:lang w:val="en-US" w:eastAsia="zh-CN"/>
              </w:rPr>
              <w:t xml:space="preserve">2 </w:t>
            </w:r>
            <w:r>
              <w:rPr>
                <w:rFonts w:hint="eastAsia" w:ascii="宋体" w:hAnsi="宋体" w:eastAsia="宋体" w:cs="宋体"/>
                <w:spacing w:val="-20"/>
                <w:sz w:val="21"/>
                <w:szCs w:val="21"/>
                <w:lang w:val="en-US" w:eastAsia="zh-CN"/>
              </w:rPr>
              <w:t>-35</w:t>
            </w:r>
          </w:p>
        </w:tc>
        <w:tc>
          <w:tcPr>
            <w:tcW w:w="448" w:type="pct"/>
            <w:noWrap w:val="0"/>
            <w:vAlign w:val="top"/>
          </w:tcPr>
          <w:p>
            <w:pPr>
              <w:jc w:val="center"/>
              <w:rPr>
                <w:rFonts w:hint="eastAsia" w:ascii="宋体" w:hAnsi="宋体" w:eastAsia="宋体"/>
                <w:sz w:val="21"/>
                <w:szCs w:val="21"/>
                <w:lang w:val="en-US" w:eastAsia="zh-CN"/>
              </w:rPr>
            </w:pPr>
            <w:r>
              <w:rPr>
                <w:rFonts w:hint="eastAsia" w:ascii="宋体" w:hAnsi="宋体"/>
                <w:sz w:val="21"/>
                <w:szCs w:val="21"/>
                <w:lang w:val="en-US" w:eastAsia="zh-CN"/>
              </w:rPr>
              <w:t>1</w:t>
            </w:r>
          </w:p>
        </w:tc>
        <w:tc>
          <w:tcPr>
            <w:tcW w:w="668" w:type="pct"/>
            <w:noWrap w:val="0"/>
            <w:vAlign w:val="center"/>
          </w:tcPr>
          <w:p>
            <w:pPr>
              <w:jc w:val="center"/>
              <w:rPr>
                <w:rFonts w:ascii="宋体" w:hAnsi="宋体"/>
                <w:sz w:val="21"/>
                <w:szCs w:val="21"/>
              </w:rPr>
            </w:pPr>
            <w:r>
              <w:rPr>
                <w:rFonts w:hint="eastAsia" w:ascii="宋体" w:hAnsi="宋体" w:eastAsia="宋体" w:cs="宋体"/>
                <w:sz w:val="21"/>
                <w:szCs w:val="21"/>
                <w:lang w:val="en-US" w:eastAsia="zh-CN"/>
              </w:rPr>
              <w:t>1999.10</w:t>
            </w:r>
          </w:p>
        </w:tc>
        <w:tc>
          <w:tcPr>
            <w:tcW w:w="674" w:type="pct"/>
            <w:vMerge w:val="continue"/>
            <w:noWrap w:val="0"/>
            <w:vAlign w:val="top"/>
          </w:tcPr>
          <w:p>
            <w:pPr>
              <w:jc w:val="center"/>
              <w:rPr>
                <w:rFonts w:ascii="宋体" w:hAnsi="宋体"/>
                <w:sz w:val="21"/>
                <w:szCs w:val="21"/>
              </w:rPr>
            </w:pPr>
          </w:p>
        </w:tc>
        <w:tc>
          <w:tcPr>
            <w:tcW w:w="412" w:type="pct"/>
            <w:vMerge w:val="continue"/>
            <w:noWrap w:val="0"/>
            <w:vAlign w:val="top"/>
          </w:tcPr>
          <w:p>
            <w:pPr>
              <w:jc w:val="center"/>
              <w:rPr>
                <w:rFonts w:ascii="宋体" w:hAnsi="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5" w:type="pct"/>
            <w:noWrap w:val="0"/>
            <w:vAlign w:val="top"/>
          </w:tcPr>
          <w:p>
            <w:pPr>
              <w:jc w:val="center"/>
              <w:rPr>
                <w:rFonts w:hint="default" w:ascii="宋体" w:hAnsi="宋体" w:eastAsia="宋体"/>
                <w:sz w:val="21"/>
                <w:szCs w:val="21"/>
                <w:lang w:val="en-US" w:eastAsia="zh-CN"/>
              </w:rPr>
            </w:pPr>
            <w:r>
              <w:rPr>
                <w:rFonts w:hint="eastAsia" w:ascii="宋体" w:hAnsi="宋体"/>
                <w:sz w:val="21"/>
                <w:szCs w:val="21"/>
                <w:lang w:val="en-US" w:eastAsia="zh-CN"/>
              </w:rPr>
              <w:t>14</w:t>
            </w:r>
          </w:p>
        </w:tc>
        <w:tc>
          <w:tcPr>
            <w:tcW w:w="1526" w:type="pct"/>
            <w:noWrap w:val="0"/>
            <w:vAlign w:val="center"/>
          </w:tcPr>
          <w:p>
            <w:pPr>
              <w:spacing w:line="360" w:lineRule="exact"/>
              <w:ind w:right="126" w:rightChars="60"/>
              <w:jc w:val="left"/>
              <w:rPr>
                <w:rFonts w:hint="eastAsia" w:ascii="宋体" w:hAnsi="宋体" w:eastAsia="宋体" w:cs="宋体"/>
                <w:sz w:val="21"/>
                <w:szCs w:val="21"/>
                <w:lang w:val="en-US" w:eastAsia="zh-CN"/>
              </w:rPr>
            </w:pPr>
            <w:r>
              <w:rPr>
                <w:rFonts w:hint="eastAsia" w:ascii="宋体" w:hAnsi="宋体" w:eastAsia="宋体" w:cs="宋体"/>
                <w:spacing w:val="-6"/>
                <w:sz w:val="21"/>
                <w:szCs w:val="21"/>
                <w:lang w:val="en-US" w:eastAsia="zh-CN"/>
              </w:rPr>
              <w:t>7#低压出线柜</w:t>
            </w:r>
          </w:p>
        </w:tc>
        <w:tc>
          <w:tcPr>
            <w:tcW w:w="944" w:type="pct"/>
            <w:noWrap w:val="0"/>
            <w:vAlign w:val="center"/>
          </w:tcPr>
          <w:p>
            <w:pPr>
              <w:spacing w:line="360" w:lineRule="exact"/>
              <w:ind w:right="126" w:rightChars="60"/>
              <w:jc w:val="center"/>
              <w:rPr>
                <w:rFonts w:ascii="宋体" w:hAnsi="宋体"/>
                <w:sz w:val="21"/>
                <w:szCs w:val="21"/>
              </w:rPr>
            </w:pPr>
            <w:r>
              <w:rPr>
                <w:rFonts w:hint="eastAsia" w:ascii="宋体" w:hAnsi="宋体" w:eastAsia="宋体" w:cs="宋体"/>
                <w:spacing w:val="-20"/>
                <w:sz w:val="21"/>
                <w:szCs w:val="21"/>
                <w:lang w:val="en-US" w:eastAsia="zh-CN"/>
              </w:rPr>
              <w:t>GGD</w:t>
            </w:r>
            <w:r>
              <w:rPr>
                <w:rFonts w:hint="eastAsia" w:ascii="宋体" w:hAnsi="宋体" w:eastAsia="宋体" w:cs="宋体"/>
                <w:spacing w:val="-20"/>
                <w:sz w:val="13"/>
                <w:szCs w:val="13"/>
                <w:lang w:val="en-US" w:eastAsia="zh-CN"/>
              </w:rPr>
              <w:t xml:space="preserve">2 </w:t>
            </w:r>
            <w:r>
              <w:rPr>
                <w:rFonts w:hint="eastAsia" w:ascii="宋体" w:hAnsi="宋体" w:eastAsia="宋体" w:cs="宋体"/>
                <w:spacing w:val="-20"/>
                <w:sz w:val="21"/>
                <w:szCs w:val="21"/>
                <w:lang w:val="en-US" w:eastAsia="zh-CN"/>
              </w:rPr>
              <w:t>-38</w:t>
            </w:r>
          </w:p>
        </w:tc>
        <w:tc>
          <w:tcPr>
            <w:tcW w:w="448" w:type="pct"/>
            <w:noWrap w:val="0"/>
            <w:vAlign w:val="top"/>
          </w:tcPr>
          <w:p>
            <w:pPr>
              <w:jc w:val="center"/>
              <w:rPr>
                <w:rFonts w:hint="eastAsia" w:ascii="宋体" w:hAnsi="宋体" w:eastAsia="宋体"/>
                <w:sz w:val="21"/>
                <w:szCs w:val="21"/>
                <w:lang w:val="en-US" w:eastAsia="zh-CN"/>
              </w:rPr>
            </w:pPr>
            <w:r>
              <w:rPr>
                <w:rFonts w:hint="eastAsia" w:ascii="宋体" w:hAnsi="宋体"/>
                <w:sz w:val="21"/>
                <w:szCs w:val="21"/>
                <w:lang w:val="en-US" w:eastAsia="zh-CN"/>
              </w:rPr>
              <w:t>1</w:t>
            </w:r>
          </w:p>
        </w:tc>
        <w:tc>
          <w:tcPr>
            <w:tcW w:w="668" w:type="pct"/>
            <w:noWrap w:val="0"/>
            <w:vAlign w:val="center"/>
          </w:tcPr>
          <w:p>
            <w:pPr>
              <w:jc w:val="center"/>
              <w:rPr>
                <w:rFonts w:ascii="宋体" w:hAnsi="宋体"/>
                <w:sz w:val="21"/>
                <w:szCs w:val="21"/>
              </w:rPr>
            </w:pPr>
            <w:r>
              <w:rPr>
                <w:rFonts w:hint="eastAsia" w:ascii="宋体" w:hAnsi="宋体" w:eastAsia="宋体" w:cs="宋体"/>
                <w:sz w:val="21"/>
                <w:szCs w:val="21"/>
                <w:lang w:val="en-US" w:eastAsia="zh-CN"/>
              </w:rPr>
              <w:t>1999.10</w:t>
            </w:r>
          </w:p>
        </w:tc>
        <w:tc>
          <w:tcPr>
            <w:tcW w:w="674" w:type="pct"/>
            <w:vMerge w:val="continue"/>
            <w:noWrap w:val="0"/>
            <w:vAlign w:val="top"/>
          </w:tcPr>
          <w:p>
            <w:pPr>
              <w:jc w:val="center"/>
              <w:rPr>
                <w:rFonts w:ascii="宋体" w:hAnsi="宋体"/>
                <w:sz w:val="21"/>
                <w:szCs w:val="21"/>
              </w:rPr>
            </w:pPr>
          </w:p>
        </w:tc>
        <w:tc>
          <w:tcPr>
            <w:tcW w:w="412" w:type="pct"/>
            <w:vMerge w:val="continue"/>
            <w:noWrap w:val="0"/>
            <w:vAlign w:val="top"/>
          </w:tcPr>
          <w:p>
            <w:pPr>
              <w:jc w:val="center"/>
              <w:rPr>
                <w:rFonts w:ascii="宋体" w:hAnsi="宋体"/>
                <w:sz w:val="21"/>
                <w:szCs w:val="21"/>
              </w:rPr>
            </w:pPr>
          </w:p>
        </w:tc>
      </w:tr>
    </w:tbl>
    <w:p>
      <w:pPr>
        <w:rPr>
          <w:rFonts w:hint="default" w:ascii="宋体" w:hAnsi="宋体" w:eastAsia="宋体" w:cs="宋体"/>
          <w:i w:val="0"/>
          <w:iCs w:val="0"/>
          <w:color w:val="000000"/>
          <w:kern w:val="0"/>
          <w:sz w:val="20"/>
          <w:szCs w:val="20"/>
          <w:u w:val="none"/>
          <w:lang w:val="en-US" w:eastAsia="zh-CN" w:bidi="ar"/>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1"/>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imbus Roman No9 L">
    <w:panose1 w:val="00000000000000000000"/>
    <w:charset w:val="00"/>
    <w:family w:val="auto"/>
    <w:pitch w:val="default"/>
    <w:sig w:usb0="00000000" w:usb1="00000000" w:usb2="00000000" w:usb3="00000000" w:csb0="00000000" w:csb1="00000000"/>
  </w:font>
  <w:font w:name="仿宋_GB2312">
    <w:altName w:val="方正仿宋_GBK"/>
    <w:panose1 w:val="02010609030101010101"/>
    <w:charset w:val="86"/>
    <w:family w:val="auto"/>
    <w:pitch w:val="default"/>
    <w:sig w:usb0="00000000" w:usb1="00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dlNWMxNTg5NGU4ODM0ZWU0ZjdmYzgyMjk2ODMxMGQifQ=="/>
  </w:docVars>
  <w:rsids>
    <w:rsidRoot w:val="174B1136"/>
    <w:rsid w:val="06ED638C"/>
    <w:rsid w:val="07D16417"/>
    <w:rsid w:val="097C11A0"/>
    <w:rsid w:val="12757AFB"/>
    <w:rsid w:val="174B1136"/>
    <w:rsid w:val="17844FD1"/>
    <w:rsid w:val="1F8E5418"/>
    <w:rsid w:val="250173EC"/>
    <w:rsid w:val="252C3B20"/>
    <w:rsid w:val="2FBFB0D6"/>
    <w:rsid w:val="3A9B6A33"/>
    <w:rsid w:val="44ED71C7"/>
    <w:rsid w:val="505C7D63"/>
    <w:rsid w:val="639F6067"/>
    <w:rsid w:val="65B13675"/>
    <w:rsid w:val="661962CB"/>
    <w:rsid w:val="6EB836D5"/>
    <w:rsid w:val="6FB31B8B"/>
    <w:rsid w:val="74651106"/>
    <w:rsid w:val="B3BDEF31"/>
    <w:rsid w:val="FEDBA3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0"/>
    <w:pPr>
      <w:keepNext/>
      <w:jc w:val="center"/>
      <w:outlineLvl w:val="0"/>
    </w:pPr>
    <w:rPr>
      <w:rFonts w:hint="eastAsia" w:ascii="Times New Roman" w:hAnsi="Times New Roman" w:eastAsia="宋体" w:cs="Times New Roman"/>
      <w:b/>
      <w:sz w:val="32"/>
      <w:szCs w:val="22"/>
    </w:rPr>
  </w:style>
  <w:style w:type="paragraph" w:styleId="3">
    <w:name w:val="heading 2"/>
    <w:basedOn w:val="1"/>
    <w:next w:val="1"/>
    <w:link w:val="8"/>
    <w:semiHidden/>
    <w:unhideWhenUsed/>
    <w:qFormat/>
    <w:uiPriority w:val="0"/>
    <w:pPr>
      <w:keepNext/>
      <w:keepLines/>
      <w:spacing w:before="260" w:beforeLines="0" w:after="260" w:afterLines="0" w:line="413" w:lineRule="auto"/>
      <w:outlineLvl w:val="1"/>
    </w:pPr>
    <w:rPr>
      <w:rFonts w:ascii="Arial" w:hAnsi="Arial" w:eastAsia="黑体" w:cs="Times New Roman"/>
      <w:b/>
      <w:bCs/>
      <w:sz w:val="28"/>
      <w:szCs w:val="32"/>
    </w:rPr>
  </w:style>
  <w:style w:type="paragraph" w:styleId="4">
    <w:name w:val="heading 3"/>
    <w:basedOn w:val="1"/>
    <w:next w:val="1"/>
    <w:link w:val="9"/>
    <w:semiHidden/>
    <w:unhideWhenUsed/>
    <w:qFormat/>
    <w:uiPriority w:val="0"/>
    <w:pPr>
      <w:keepNext/>
      <w:keepLines/>
      <w:spacing w:beforeLines="0" w:beforeAutospacing="0" w:afterLines="0" w:afterAutospacing="0" w:line="413" w:lineRule="auto"/>
      <w:outlineLvl w:val="2"/>
    </w:pPr>
    <w:rPr>
      <w:rFonts w:ascii="Times New Roman" w:hAnsi="Times New Roman" w:eastAsia="宋体" w:cs="Times New Roman"/>
      <w:b/>
      <w:sz w:val="28"/>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table" w:styleId="6">
    <w:name w:val="Table Grid"/>
    <w:basedOn w:val="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8">
    <w:name w:val="标题 2 Char"/>
    <w:link w:val="3"/>
    <w:qFormat/>
    <w:uiPriority w:val="162"/>
    <w:rPr>
      <w:rFonts w:ascii="Arial" w:hAnsi="Arial" w:eastAsia="黑体" w:cs="Times New Roman"/>
      <w:b/>
      <w:bCs/>
      <w:sz w:val="28"/>
      <w:szCs w:val="32"/>
    </w:rPr>
  </w:style>
  <w:style w:type="character" w:customStyle="1" w:styleId="9">
    <w:name w:val="标题 3 Char"/>
    <w:basedOn w:val="7"/>
    <w:link w:val="4"/>
    <w:qFormat/>
    <w:uiPriority w:val="0"/>
    <w:rPr>
      <w:rFonts w:ascii="Times New Roman" w:hAnsi="Times New Roman" w:eastAsia="宋体" w:cs="Times New Roman"/>
      <w:b/>
      <w:sz w:val="2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Office_11.8.2.9849_F1E327BC-269C-435d-A152-05C5408002CA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2022-05-21T05:21:00Z</dcterms:created>
  <dc:creator>r嚴</dc:creator>
  <cp:lastModifiedBy>wjw</cp:lastModifiedBy>
  <cp:lastPrinted>2022-09-23T10:47:51Z</cp:lastPrinted>
  <dcterms:modified xsi:type="dcterms:W3CDTF">2022-09-23T10:49:07Z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2052-11.8.2.9849</vt:lpwstr>
  </property>
  <property fmtid="{D5CDD505-2E9C-101B-9397-08002B2CF9AE}" pid="3" name="ICV">
    <vt:lpwstr>ABEDF7D081154431B2312CC39DAEFE64</vt:lpwstr>
  </property>
</Properties>
</file>