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bidi w:val="0"/>
        <w:rPr>
          <w:rFonts w:hint="eastAsia" w:ascii="黑体" w:hAnsi="黑体" w:eastAsia="黑体"/>
          <w:b w:val="0"/>
          <w:bCs/>
          <w:color w:val="auto"/>
          <w:sz w:val="32"/>
          <w:szCs w:val="32"/>
          <w:u w:val="none"/>
          <w:lang w:eastAsia="zh-CN"/>
        </w:rPr>
      </w:pPr>
      <w:r>
        <w:rPr>
          <w:rFonts w:hint="eastAsia" w:ascii="黑体" w:hAnsi="黑体" w:eastAsia="黑体"/>
          <w:b w:val="0"/>
          <w:bCs/>
          <w:color w:val="auto"/>
          <w:sz w:val="32"/>
          <w:szCs w:val="32"/>
          <w:u w:val="none"/>
          <w:lang w:eastAsia="zh-CN"/>
        </w:rPr>
        <w:t>卓刀泉院区高低压配电设备维保清单</w:t>
      </w:r>
    </w:p>
    <w:p>
      <w:pPr>
        <w:rPr>
          <w:rFonts w:hint="eastAsia"/>
          <w:lang w:eastAsia="zh-CN"/>
        </w:rPr>
      </w:pPr>
    </w:p>
    <w:p>
      <w:pPr>
        <w:pStyle w:val="2"/>
        <w:bidi w:val="0"/>
        <w:rPr>
          <w:rFonts w:hint="eastAsia" w:ascii="黑体" w:hAnsi="黑体" w:eastAsia="黑体" w:cs="黑体"/>
          <w:b w:val="0"/>
          <w:bCs/>
          <w:sz w:val="32"/>
          <w:szCs w:val="32"/>
          <w:lang w:val="en-US" w:eastAsia="zh-CN"/>
        </w:rPr>
      </w:pPr>
      <w:r>
        <w:rPr>
          <w:rFonts w:hint="eastAsia" w:ascii="黑体" w:hAnsi="黑体" w:eastAsia="黑体"/>
          <w:b w:val="0"/>
          <w:bCs/>
          <w:color w:val="auto"/>
          <w:sz w:val="32"/>
          <w:szCs w:val="32"/>
        </w:rPr>
        <w:t>日常维护保养内容</w:t>
      </w:r>
      <w:r>
        <w:rPr>
          <w:rFonts w:hint="eastAsia" w:ascii="黑体" w:hAnsi="黑体" w:eastAsia="黑体" w:cs="黑体"/>
          <w:b w:val="0"/>
          <w:bCs/>
          <w:sz w:val="32"/>
          <w:szCs w:val="32"/>
          <w:lang w:val="en-US" w:eastAsia="zh-CN"/>
        </w:rPr>
        <w:t>（</w:t>
      </w:r>
      <w:r>
        <w:rPr>
          <w:rFonts w:hint="eastAsia" w:ascii="黑体" w:hAnsi="黑体" w:eastAsia="黑体" w:cs="黑体"/>
          <w:b w:val="0"/>
          <w:bCs/>
          <w:sz w:val="32"/>
          <w:szCs w:val="32"/>
          <w:u w:val="single"/>
          <w:lang w:val="en-US" w:eastAsia="zh-CN"/>
        </w:rPr>
        <w:t>每月一次</w:t>
      </w:r>
      <w:r>
        <w:rPr>
          <w:rFonts w:hint="eastAsia" w:ascii="黑体" w:hAnsi="黑体" w:eastAsia="黑体" w:cs="黑体"/>
          <w:b w:val="0"/>
          <w:bCs/>
          <w:sz w:val="32"/>
          <w:szCs w:val="32"/>
          <w:lang w:val="en-US" w:eastAsia="zh-CN"/>
        </w:rPr>
        <w:t>）</w:t>
      </w:r>
    </w:p>
    <w:tbl>
      <w:tblPr>
        <w:tblStyle w:val="6"/>
        <w:tblW w:w="54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4"/>
        <w:gridCol w:w="1979"/>
        <w:gridCol w:w="2894"/>
        <w:gridCol w:w="1426"/>
        <w:gridCol w:w="1153"/>
        <w:gridCol w:w="115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tblHeader/>
          <w:jc w:val="center"/>
        </w:trPr>
        <w:tc>
          <w:tcPr>
            <w:tcW w:w="407"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黑体" w:hAnsi="黑体" w:eastAsia="黑体" w:cs="黑体"/>
                <w:b/>
                <w:bCs/>
                <w:sz w:val="21"/>
                <w:szCs w:val="21"/>
                <w:lang w:val="en-US" w:eastAsia="zh-CN"/>
              </w:rPr>
            </w:pPr>
            <w:r>
              <w:rPr>
                <w:rFonts w:hint="eastAsia" w:ascii="黑体" w:hAnsi="黑体" w:eastAsia="黑体" w:cs="黑体"/>
                <w:b/>
                <w:bCs/>
                <w:sz w:val="21"/>
                <w:szCs w:val="21"/>
                <w:lang w:val="en-US" w:eastAsia="zh-CN"/>
              </w:rPr>
              <w:t>序号</w:t>
            </w:r>
          </w:p>
        </w:tc>
        <w:tc>
          <w:tcPr>
            <w:tcW w:w="1055"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黑体" w:hAnsi="黑体" w:eastAsia="黑体" w:cs="黑体"/>
                <w:b/>
                <w:bCs/>
                <w:sz w:val="21"/>
                <w:szCs w:val="21"/>
                <w:lang w:val="en-US" w:eastAsia="zh-CN"/>
              </w:rPr>
            </w:pPr>
            <w:r>
              <w:rPr>
                <w:rFonts w:hint="eastAsia" w:ascii="黑体" w:hAnsi="黑体" w:eastAsia="黑体" w:cs="黑体"/>
                <w:b/>
                <w:bCs/>
                <w:sz w:val="21"/>
                <w:szCs w:val="21"/>
                <w:lang w:val="en-US" w:eastAsia="zh-CN"/>
              </w:rPr>
              <w:t>名称</w:t>
            </w:r>
          </w:p>
        </w:tc>
        <w:tc>
          <w:tcPr>
            <w:tcW w:w="1544"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黑体" w:hAnsi="黑体" w:eastAsia="黑体" w:cs="黑体"/>
                <w:b/>
                <w:bCs/>
                <w:sz w:val="21"/>
                <w:szCs w:val="21"/>
                <w:lang w:val="en-US" w:eastAsia="zh-CN"/>
              </w:rPr>
            </w:pPr>
            <w:r>
              <w:rPr>
                <w:rFonts w:hint="eastAsia" w:ascii="黑体" w:hAnsi="黑体" w:eastAsia="黑体" w:cs="黑体"/>
                <w:b/>
                <w:bCs/>
                <w:sz w:val="21"/>
                <w:szCs w:val="21"/>
                <w:lang w:val="en-US" w:eastAsia="zh-CN"/>
              </w:rPr>
              <w:t>维护保养内容</w:t>
            </w:r>
          </w:p>
        </w:tc>
        <w:tc>
          <w:tcPr>
            <w:tcW w:w="760"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黑体" w:hAnsi="黑体" w:eastAsia="黑体" w:cs="黑体"/>
                <w:b/>
                <w:bCs/>
                <w:sz w:val="21"/>
                <w:szCs w:val="21"/>
                <w:lang w:val="en-US" w:eastAsia="zh-CN"/>
              </w:rPr>
            </w:pPr>
            <w:r>
              <w:rPr>
                <w:rFonts w:hint="eastAsia" w:ascii="黑体" w:hAnsi="黑体" w:eastAsia="黑体" w:cs="黑体"/>
                <w:b/>
                <w:bCs/>
                <w:sz w:val="21"/>
                <w:szCs w:val="21"/>
                <w:lang w:val="en-US" w:eastAsia="zh-CN"/>
              </w:rPr>
              <w:t>维护保养标准及要求</w:t>
            </w:r>
          </w:p>
        </w:tc>
        <w:tc>
          <w:tcPr>
            <w:tcW w:w="615"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黑体" w:hAnsi="黑体" w:eastAsia="黑体" w:cs="黑体"/>
                <w:b/>
                <w:bCs/>
                <w:sz w:val="21"/>
                <w:szCs w:val="21"/>
                <w:lang w:val="en-US" w:eastAsia="zh-CN"/>
              </w:rPr>
            </w:pPr>
            <w:r>
              <w:rPr>
                <w:rFonts w:hint="eastAsia" w:ascii="黑体" w:hAnsi="黑体" w:eastAsia="黑体" w:cs="黑体"/>
                <w:b/>
                <w:bCs/>
                <w:sz w:val="21"/>
                <w:szCs w:val="21"/>
                <w:lang w:val="en-US" w:eastAsia="zh-CN"/>
              </w:rPr>
              <w:t>是否完成</w:t>
            </w:r>
          </w:p>
        </w:tc>
        <w:tc>
          <w:tcPr>
            <w:tcW w:w="616"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黑体" w:hAnsi="黑体" w:eastAsia="黑体" w:cs="黑体"/>
                <w:b/>
                <w:bCs/>
                <w:sz w:val="21"/>
                <w:szCs w:val="21"/>
                <w:lang w:val="en-US" w:eastAsia="zh-CN"/>
              </w:rPr>
            </w:pPr>
            <w:r>
              <w:rPr>
                <w:rFonts w:hint="eastAsia" w:ascii="黑体" w:hAnsi="黑体" w:eastAsia="黑体" w:cs="黑体"/>
                <w:b/>
                <w:bCs/>
                <w:sz w:val="21"/>
                <w:szCs w:val="21"/>
                <w:lang w:val="en-US" w:eastAsia="zh-CN"/>
              </w:rPr>
              <w:t>是否配件更换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5000" w:type="pct"/>
            <w:gridSpan w:val="6"/>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left"/>
              <w:textAlignment w:val="auto"/>
              <w:rPr>
                <w:rFonts w:hint="eastAsia" w:ascii="宋体" w:hAnsi="宋体" w:eastAsia="宋体" w:cs="宋体"/>
                <w:b w:val="0"/>
                <w:bCs/>
                <w:sz w:val="21"/>
                <w:szCs w:val="21"/>
                <w:lang w:val="en-US" w:eastAsia="zh-CN"/>
              </w:rPr>
            </w:pPr>
            <w:r>
              <w:rPr>
                <w:rFonts w:hint="eastAsia" w:ascii="宋体" w:hAnsi="宋体" w:eastAsia="宋体" w:cs="宋体"/>
                <w:b/>
                <w:bCs w:val="0"/>
                <w:sz w:val="21"/>
                <w:szCs w:val="21"/>
                <w:lang w:val="en-US" w:eastAsia="zh-CN"/>
              </w:rPr>
              <w:t>10KV高压柜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407"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w:t>
            </w:r>
          </w:p>
        </w:tc>
        <w:tc>
          <w:tcPr>
            <w:tcW w:w="1055"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G1高压进线柜</w:t>
            </w:r>
          </w:p>
        </w:tc>
        <w:tc>
          <w:tcPr>
            <w:tcW w:w="1544" w:type="pct"/>
            <w:vMerge w:val="restar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1.高压柜外观检查；</w:t>
            </w:r>
          </w:p>
          <w:p>
            <w:pPr>
              <w:keepNext w:val="0"/>
              <w:keepLines w:val="0"/>
              <w:pageBreakBefore w:val="0"/>
              <w:widowControl w:val="0"/>
              <w:kinsoku/>
              <w:wordWrap/>
              <w:overflowPunct/>
              <w:topLinePunct w:val="0"/>
              <w:autoSpaceDE/>
              <w:autoSpaceDN/>
              <w:bidi w:val="0"/>
              <w:adjustRightInd/>
              <w:snapToGrid/>
              <w:spacing w:line="280" w:lineRule="exact"/>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2.柜内标示牌是否完善；</w:t>
            </w:r>
          </w:p>
          <w:p>
            <w:pPr>
              <w:keepNext w:val="0"/>
              <w:keepLines w:val="0"/>
              <w:pageBreakBefore w:val="0"/>
              <w:widowControl w:val="0"/>
              <w:kinsoku/>
              <w:wordWrap/>
              <w:overflowPunct/>
              <w:topLinePunct w:val="0"/>
              <w:autoSpaceDE/>
              <w:autoSpaceDN/>
              <w:bidi w:val="0"/>
              <w:adjustRightInd/>
              <w:snapToGrid/>
              <w:spacing w:line="280" w:lineRule="exact"/>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3.柜内、外是否有积尘；</w:t>
            </w:r>
          </w:p>
          <w:p>
            <w:pPr>
              <w:keepNext w:val="0"/>
              <w:keepLines w:val="0"/>
              <w:pageBreakBefore w:val="0"/>
              <w:widowControl w:val="0"/>
              <w:kinsoku/>
              <w:wordWrap/>
              <w:overflowPunct/>
              <w:topLinePunct w:val="0"/>
              <w:autoSpaceDE/>
              <w:autoSpaceDN/>
              <w:bidi w:val="0"/>
              <w:adjustRightInd/>
              <w:snapToGrid/>
              <w:spacing w:line="280" w:lineRule="exact"/>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4.柜面指示灯是否正常；</w:t>
            </w:r>
          </w:p>
          <w:p>
            <w:pPr>
              <w:keepNext w:val="0"/>
              <w:keepLines w:val="0"/>
              <w:pageBreakBefore w:val="0"/>
              <w:widowControl w:val="0"/>
              <w:kinsoku/>
              <w:wordWrap/>
              <w:overflowPunct/>
              <w:topLinePunct w:val="0"/>
              <w:autoSpaceDE/>
              <w:autoSpaceDN/>
              <w:bidi w:val="0"/>
              <w:adjustRightInd/>
              <w:snapToGrid/>
              <w:spacing w:line="280" w:lineRule="exact"/>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5.电流表显示是否正常；</w:t>
            </w:r>
          </w:p>
          <w:p>
            <w:pPr>
              <w:keepNext w:val="0"/>
              <w:keepLines w:val="0"/>
              <w:pageBreakBefore w:val="0"/>
              <w:widowControl w:val="0"/>
              <w:kinsoku/>
              <w:wordWrap/>
              <w:overflowPunct/>
              <w:topLinePunct w:val="0"/>
              <w:autoSpaceDE/>
              <w:autoSpaceDN/>
              <w:bidi w:val="0"/>
              <w:adjustRightInd/>
              <w:snapToGrid/>
              <w:spacing w:line="280" w:lineRule="exact"/>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6.电压表显示是否正常；</w:t>
            </w:r>
          </w:p>
          <w:p>
            <w:pPr>
              <w:keepNext w:val="0"/>
              <w:keepLines w:val="0"/>
              <w:pageBreakBefore w:val="0"/>
              <w:widowControl w:val="0"/>
              <w:kinsoku/>
              <w:wordWrap/>
              <w:overflowPunct/>
              <w:topLinePunct w:val="0"/>
              <w:autoSpaceDE/>
              <w:autoSpaceDN/>
              <w:bidi w:val="0"/>
              <w:adjustRightInd/>
              <w:snapToGrid/>
              <w:spacing w:line="280" w:lineRule="exact"/>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7.来电显示器显示是否正常；</w:t>
            </w:r>
          </w:p>
          <w:p>
            <w:pPr>
              <w:keepNext w:val="0"/>
              <w:keepLines w:val="0"/>
              <w:pageBreakBefore w:val="0"/>
              <w:widowControl w:val="0"/>
              <w:kinsoku/>
              <w:wordWrap/>
              <w:overflowPunct/>
              <w:topLinePunct w:val="0"/>
              <w:autoSpaceDE/>
              <w:autoSpaceDN/>
              <w:bidi w:val="0"/>
              <w:adjustRightInd/>
              <w:snapToGrid/>
              <w:spacing w:line="280" w:lineRule="exact"/>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8.柜内二次回路各类端子是否紧固正常；</w:t>
            </w:r>
          </w:p>
          <w:p>
            <w:pPr>
              <w:keepNext w:val="0"/>
              <w:keepLines w:val="0"/>
              <w:pageBreakBefore w:val="0"/>
              <w:widowControl w:val="0"/>
              <w:kinsoku/>
              <w:wordWrap/>
              <w:overflowPunct/>
              <w:topLinePunct w:val="0"/>
              <w:autoSpaceDE/>
              <w:autoSpaceDN/>
              <w:bidi w:val="0"/>
              <w:adjustRightInd/>
              <w:snapToGrid/>
              <w:spacing w:line="280" w:lineRule="exact"/>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9.隔观察窗观察母排是否有烧蚀现象；</w:t>
            </w:r>
          </w:p>
          <w:p>
            <w:pPr>
              <w:keepNext w:val="0"/>
              <w:keepLines w:val="0"/>
              <w:pageBreakBefore w:val="0"/>
              <w:widowControl w:val="0"/>
              <w:kinsoku/>
              <w:wordWrap/>
              <w:overflowPunct/>
              <w:topLinePunct w:val="0"/>
              <w:autoSpaceDE/>
              <w:autoSpaceDN/>
              <w:bidi w:val="0"/>
              <w:adjustRightInd/>
              <w:snapToGrid/>
              <w:spacing w:line="280" w:lineRule="exact"/>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10.隔观察窗观察断路器是否有烧蚀现象；</w:t>
            </w:r>
          </w:p>
          <w:p>
            <w:pPr>
              <w:keepNext w:val="0"/>
              <w:keepLines w:val="0"/>
              <w:pageBreakBefore w:val="0"/>
              <w:widowControl w:val="0"/>
              <w:kinsoku/>
              <w:wordWrap/>
              <w:overflowPunct/>
              <w:topLinePunct w:val="0"/>
              <w:autoSpaceDE/>
              <w:autoSpaceDN/>
              <w:bidi w:val="0"/>
              <w:adjustRightInd/>
              <w:snapToGrid/>
              <w:spacing w:line="280" w:lineRule="exact"/>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11.隔观察窗观察绝缘子是否有烧蚀现象。</w:t>
            </w:r>
          </w:p>
        </w:tc>
        <w:tc>
          <w:tcPr>
            <w:tcW w:w="760" w:type="pct"/>
            <w:vMerge w:val="restar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无国家标准</w:t>
            </w:r>
          </w:p>
        </w:tc>
        <w:tc>
          <w:tcPr>
            <w:tcW w:w="615"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c>
          <w:tcPr>
            <w:tcW w:w="616"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407"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w:t>
            </w:r>
          </w:p>
        </w:tc>
        <w:tc>
          <w:tcPr>
            <w:tcW w:w="1055"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G2计量柜</w:t>
            </w:r>
          </w:p>
        </w:tc>
        <w:tc>
          <w:tcPr>
            <w:tcW w:w="1544" w:type="pct"/>
            <w:vMerge w:val="continue"/>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c>
          <w:tcPr>
            <w:tcW w:w="760" w:type="pct"/>
            <w:vMerge w:val="continue"/>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c>
          <w:tcPr>
            <w:tcW w:w="615"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c>
          <w:tcPr>
            <w:tcW w:w="616"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407"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3</w:t>
            </w:r>
          </w:p>
        </w:tc>
        <w:tc>
          <w:tcPr>
            <w:tcW w:w="1055"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G3PT柜</w:t>
            </w:r>
          </w:p>
        </w:tc>
        <w:tc>
          <w:tcPr>
            <w:tcW w:w="1544" w:type="pct"/>
            <w:vMerge w:val="continue"/>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c>
          <w:tcPr>
            <w:tcW w:w="760" w:type="pct"/>
            <w:vMerge w:val="continue"/>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c>
          <w:tcPr>
            <w:tcW w:w="615"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c>
          <w:tcPr>
            <w:tcW w:w="616"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407"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4</w:t>
            </w:r>
          </w:p>
        </w:tc>
        <w:tc>
          <w:tcPr>
            <w:tcW w:w="1055"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G4出线柜</w:t>
            </w:r>
          </w:p>
        </w:tc>
        <w:tc>
          <w:tcPr>
            <w:tcW w:w="1544" w:type="pct"/>
            <w:vMerge w:val="continue"/>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c>
          <w:tcPr>
            <w:tcW w:w="760" w:type="pct"/>
            <w:vMerge w:val="continue"/>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c>
          <w:tcPr>
            <w:tcW w:w="615"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c>
          <w:tcPr>
            <w:tcW w:w="616"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407"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5</w:t>
            </w:r>
          </w:p>
        </w:tc>
        <w:tc>
          <w:tcPr>
            <w:tcW w:w="1055"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G5联络柜</w:t>
            </w:r>
          </w:p>
        </w:tc>
        <w:tc>
          <w:tcPr>
            <w:tcW w:w="1544" w:type="pct"/>
            <w:vMerge w:val="continue"/>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c>
          <w:tcPr>
            <w:tcW w:w="760" w:type="pct"/>
            <w:vMerge w:val="continue"/>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c>
          <w:tcPr>
            <w:tcW w:w="615"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c>
          <w:tcPr>
            <w:tcW w:w="616"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407"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6</w:t>
            </w:r>
          </w:p>
        </w:tc>
        <w:tc>
          <w:tcPr>
            <w:tcW w:w="1055"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G6提升柜</w:t>
            </w:r>
          </w:p>
        </w:tc>
        <w:tc>
          <w:tcPr>
            <w:tcW w:w="1544" w:type="pct"/>
            <w:vMerge w:val="continue"/>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c>
          <w:tcPr>
            <w:tcW w:w="760" w:type="pct"/>
            <w:vMerge w:val="continue"/>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c>
          <w:tcPr>
            <w:tcW w:w="615"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c>
          <w:tcPr>
            <w:tcW w:w="616"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407"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7</w:t>
            </w:r>
          </w:p>
        </w:tc>
        <w:tc>
          <w:tcPr>
            <w:tcW w:w="1055"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G7出线柜</w:t>
            </w:r>
          </w:p>
        </w:tc>
        <w:tc>
          <w:tcPr>
            <w:tcW w:w="1544" w:type="pct"/>
            <w:vMerge w:val="continue"/>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c>
          <w:tcPr>
            <w:tcW w:w="760" w:type="pct"/>
            <w:vMerge w:val="continue"/>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c>
          <w:tcPr>
            <w:tcW w:w="615"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c>
          <w:tcPr>
            <w:tcW w:w="616"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407"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8</w:t>
            </w:r>
          </w:p>
        </w:tc>
        <w:tc>
          <w:tcPr>
            <w:tcW w:w="1055"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G8PT柜</w:t>
            </w:r>
          </w:p>
        </w:tc>
        <w:tc>
          <w:tcPr>
            <w:tcW w:w="1544" w:type="pct"/>
            <w:vMerge w:val="continue"/>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c>
          <w:tcPr>
            <w:tcW w:w="760" w:type="pct"/>
            <w:vMerge w:val="continue"/>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c>
          <w:tcPr>
            <w:tcW w:w="615"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c>
          <w:tcPr>
            <w:tcW w:w="616"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407"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9</w:t>
            </w:r>
          </w:p>
        </w:tc>
        <w:tc>
          <w:tcPr>
            <w:tcW w:w="1055"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G9计量柜</w:t>
            </w:r>
          </w:p>
        </w:tc>
        <w:tc>
          <w:tcPr>
            <w:tcW w:w="1544" w:type="pct"/>
            <w:vMerge w:val="continue"/>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c>
          <w:tcPr>
            <w:tcW w:w="760" w:type="pct"/>
            <w:vMerge w:val="continue"/>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c>
          <w:tcPr>
            <w:tcW w:w="615"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c>
          <w:tcPr>
            <w:tcW w:w="616"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407"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10</w:t>
            </w:r>
          </w:p>
        </w:tc>
        <w:tc>
          <w:tcPr>
            <w:tcW w:w="1055"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G10高压进线柜</w:t>
            </w:r>
          </w:p>
        </w:tc>
        <w:tc>
          <w:tcPr>
            <w:tcW w:w="1544" w:type="pct"/>
            <w:vMerge w:val="continue"/>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c>
          <w:tcPr>
            <w:tcW w:w="760" w:type="pct"/>
            <w:vMerge w:val="continue"/>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c>
          <w:tcPr>
            <w:tcW w:w="615"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c>
          <w:tcPr>
            <w:tcW w:w="616"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5000" w:type="pct"/>
            <w:gridSpan w:val="6"/>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left"/>
              <w:textAlignment w:val="auto"/>
              <w:rPr>
                <w:rFonts w:hint="eastAsia" w:ascii="宋体" w:hAnsi="宋体" w:eastAsia="宋体" w:cs="宋体"/>
                <w:b w:val="0"/>
                <w:bCs/>
                <w:sz w:val="21"/>
                <w:szCs w:val="21"/>
                <w:lang w:val="en-US" w:eastAsia="zh-CN"/>
              </w:rPr>
            </w:pPr>
            <w:r>
              <w:rPr>
                <w:rFonts w:hint="eastAsia" w:ascii="宋体" w:hAnsi="宋体" w:eastAsia="宋体" w:cs="宋体"/>
                <w:b/>
                <w:bCs w:val="0"/>
                <w:sz w:val="21"/>
                <w:szCs w:val="21"/>
                <w:lang w:val="en-US" w:eastAsia="zh-CN"/>
              </w:rPr>
              <w:t>10KV干式电力变压器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407"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kern w:val="2"/>
                <w:sz w:val="21"/>
                <w:szCs w:val="21"/>
                <w:lang w:val="en-US" w:eastAsia="zh-CN" w:bidi="ar-SA"/>
              </w:rPr>
            </w:pPr>
            <w:r>
              <w:rPr>
                <w:rFonts w:hint="eastAsia" w:ascii="宋体" w:hAnsi="宋体" w:eastAsia="宋体" w:cs="宋体"/>
                <w:sz w:val="21"/>
                <w:szCs w:val="21"/>
                <w:lang w:val="en-US" w:eastAsia="zh-CN"/>
              </w:rPr>
              <w:t>1</w:t>
            </w:r>
          </w:p>
        </w:tc>
        <w:tc>
          <w:tcPr>
            <w:tcW w:w="1055"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left"/>
              <w:textAlignment w:val="auto"/>
              <w:rPr>
                <w:rFonts w:hint="eastAsia" w:ascii="宋体" w:hAnsi="宋体" w:eastAsia="宋体" w:cs="宋体"/>
                <w:kern w:val="2"/>
                <w:sz w:val="21"/>
                <w:szCs w:val="21"/>
                <w:lang w:val="en-US" w:eastAsia="zh-CN" w:bidi="ar-SA"/>
              </w:rPr>
            </w:pPr>
            <w:r>
              <w:rPr>
                <w:rFonts w:hint="eastAsia" w:ascii="宋体" w:hAnsi="宋体" w:eastAsia="宋体" w:cs="宋体"/>
                <w:sz w:val="21"/>
                <w:szCs w:val="21"/>
                <w:lang w:val="en-US" w:eastAsia="zh-CN"/>
              </w:rPr>
              <w:t>10KV干式电力变压器（1#800KVA,2#800KVA)</w:t>
            </w:r>
          </w:p>
        </w:tc>
        <w:tc>
          <w:tcPr>
            <w:tcW w:w="1544"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1.检查变压器的套管、绕组树脂绝缘外表层是否清洁、有无爬电痕迹和碳化现象；</w:t>
            </w:r>
          </w:p>
          <w:p>
            <w:pPr>
              <w:keepNext w:val="0"/>
              <w:keepLines w:val="0"/>
              <w:pageBreakBefore w:val="0"/>
              <w:widowControl w:val="0"/>
              <w:kinsoku/>
              <w:wordWrap/>
              <w:overflowPunct/>
              <w:topLinePunct w:val="0"/>
              <w:autoSpaceDE/>
              <w:autoSpaceDN/>
              <w:bidi w:val="0"/>
              <w:adjustRightInd/>
              <w:snapToGrid/>
              <w:spacing w:line="280" w:lineRule="exact"/>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2.变压器高低压套管引线接地紧密无发热，并无裂纹及放电现象；</w:t>
            </w:r>
          </w:p>
          <w:p>
            <w:pPr>
              <w:keepNext w:val="0"/>
              <w:keepLines w:val="0"/>
              <w:pageBreakBefore w:val="0"/>
              <w:widowControl w:val="0"/>
              <w:kinsoku/>
              <w:wordWrap/>
              <w:overflowPunct/>
              <w:topLinePunct w:val="0"/>
              <w:autoSpaceDE/>
              <w:autoSpaceDN/>
              <w:bidi w:val="0"/>
              <w:adjustRightInd/>
              <w:snapToGrid/>
              <w:spacing w:line="280" w:lineRule="exact"/>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3.检查紧固件、连接件、导电零件及其它零件有无生锈、腐蚀的痕迹及导电零件接触是否良好；</w:t>
            </w:r>
          </w:p>
          <w:p>
            <w:pPr>
              <w:keepNext w:val="0"/>
              <w:keepLines w:val="0"/>
              <w:pageBreakBefore w:val="0"/>
              <w:widowControl w:val="0"/>
              <w:kinsoku/>
              <w:wordWrap/>
              <w:overflowPunct/>
              <w:topLinePunct w:val="0"/>
              <w:autoSpaceDE/>
              <w:autoSpaceDN/>
              <w:bidi w:val="0"/>
              <w:adjustRightInd/>
              <w:snapToGrid/>
              <w:spacing w:line="280" w:lineRule="exact"/>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4.检查电缆和母线有无异常；</w:t>
            </w:r>
          </w:p>
          <w:p>
            <w:pPr>
              <w:keepNext w:val="0"/>
              <w:keepLines w:val="0"/>
              <w:pageBreakBefore w:val="0"/>
              <w:widowControl w:val="0"/>
              <w:kinsoku/>
              <w:wordWrap/>
              <w:overflowPunct/>
              <w:topLinePunct w:val="0"/>
              <w:autoSpaceDE/>
              <w:autoSpaceDN/>
              <w:bidi w:val="0"/>
              <w:adjustRightInd/>
              <w:snapToGrid/>
              <w:spacing w:line="280" w:lineRule="exact"/>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5.检查风冷系统的温度箱中电气设备运行是否正常及信号系统有无异常；</w:t>
            </w:r>
          </w:p>
          <w:p>
            <w:pPr>
              <w:keepNext w:val="0"/>
              <w:keepLines w:val="0"/>
              <w:pageBreakBefore w:val="0"/>
              <w:widowControl w:val="0"/>
              <w:kinsoku/>
              <w:wordWrap/>
              <w:overflowPunct/>
              <w:topLinePunct w:val="0"/>
              <w:autoSpaceDE/>
              <w:autoSpaceDN/>
              <w:bidi w:val="0"/>
              <w:adjustRightInd/>
              <w:snapToGrid/>
              <w:spacing w:line="280" w:lineRule="exact"/>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6.在遮栏外细听变压器的声音，判断有无异常及运行是否正常；</w:t>
            </w:r>
          </w:p>
          <w:p>
            <w:pPr>
              <w:keepNext w:val="0"/>
              <w:keepLines w:val="0"/>
              <w:pageBreakBefore w:val="0"/>
              <w:widowControl w:val="0"/>
              <w:kinsoku/>
              <w:wordWrap/>
              <w:overflowPunct/>
              <w:topLinePunct w:val="0"/>
              <w:autoSpaceDE/>
              <w:autoSpaceDN/>
              <w:bidi w:val="0"/>
              <w:adjustRightInd/>
              <w:snapToGrid/>
              <w:spacing w:line="280" w:lineRule="exact"/>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7.检查变压器底座、栏杆、变压器室电缆接地线等接地是否可靠良好；</w:t>
            </w:r>
          </w:p>
          <w:p>
            <w:pPr>
              <w:keepNext w:val="0"/>
              <w:keepLines w:val="0"/>
              <w:pageBreakBefore w:val="0"/>
              <w:widowControl w:val="0"/>
              <w:kinsoku/>
              <w:wordWrap/>
              <w:overflowPunct/>
              <w:topLinePunct w:val="0"/>
              <w:autoSpaceDE/>
              <w:autoSpaceDN/>
              <w:bidi w:val="0"/>
              <w:adjustRightInd/>
              <w:snapToGrid/>
              <w:spacing w:line="280" w:lineRule="exact"/>
              <w:ind w:right="0" w:rightChars="0"/>
              <w:jc w:val="left"/>
              <w:textAlignment w:val="auto"/>
              <w:rPr>
                <w:rFonts w:hint="eastAsia" w:ascii="宋体" w:hAnsi="宋体" w:eastAsia="宋体" w:cs="宋体"/>
                <w:kern w:val="2"/>
                <w:sz w:val="21"/>
                <w:szCs w:val="21"/>
                <w:lang w:val="en-US" w:eastAsia="zh-CN" w:bidi="ar-SA"/>
              </w:rPr>
            </w:pPr>
            <w:r>
              <w:rPr>
                <w:rFonts w:hint="eastAsia" w:ascii="宋体" w:hAnsi="宋体" w:eastAsia="宋体" w:cs="宋体"/>
                <w:sz w:val="21"/>
                <w:szCs w:val="21"/>
                <w:lang w:val="en-US" w:eastAsia="zh-CN"/>
              </w:rPr>
              <w:t>8.用温度检查仪检查接触器部位及外壳温度有无超标现象。</w:t>
            </w:r>
          </w:p>
        </w:tc>
        <w:tc>
          <w:tcPr>
            <w:tcW w:w="760"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kern w:val="2"/>
                <w:sz w:val="21"/>
                <w:szCs w:val="21"/>
                <w:lang w:val="en-US" w:eastAsia="zh-CN" w:bidi="ar-SA"/>
              </w:rPr>
            </w:pPr>
            <w:r>
              <w:rPr>
                <w:rFonts w:hint="eastAsia" w:ascii="宋体" w:hAnsi="宋体" w:eastAsia="宋体" w:cs="宋体"/>
                <w:sz w:val="21"/>
                <w:szCs w:val="21"/>
                <w:lang w:val="en-US" w:eastAsia="zh-CN"/>
              </w:rPr>
              <w:t>无国家标准</w:t>
            </w:r>
          </w:p>
        </w:tc>
        <w:tc>
          <w:tcPr>
            <w:tcW w:w="615"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c>
          <w:tcPr>
            <w:tcW w:w="616"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5000" w:type="pct"/>
            <w:gridSpan w:val="6"/>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left"/>
              <w:textAlignment w:val="auto"/>
              <w:rPr>
                <w:rFonts w:hint="eastAsia" w:ascii="宋体" w:hAnsi="宋体" w:eastAsia="宋体" w:cs="宋体"/>
                <w:b w:val="0"/>
                <w:bCs/>
                <w:sz w:val="21"/>
                <w:szCs w:val="21"/>
                <w:lang w:val="en-US" w:eastAsia="zh-CN"/>
              </w:rPr>
            </w:pPr>
            <w:r>
              <w:rPr>
                <w:rFonts w:hint="eastAsia" w:ascii="宋体" w:hAnsi="宋体" w:eastAsia="宋体" w:cs="宋体"/>
                <w:b/>
                <w:bCs w:val="0"/>
                <w:sz w:val="21"/>
                <w:szCs w:val="21"/>
                <w:lang w:val="en-US" w:eastAsia="zh-CN"/>
              </w:rPr>
              <w:t>低压电气设备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407"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kern w:val="2"/>
                <w:sz w:val="21"/>
                <w:szCs w:val="21"/>
                <w:lang w:val="en-US" w:eastAsia="zh-CN" w:bidi="ar-SA"/>
              </w:rPr>
            </w:pPr>
            <w:r>
              <w:rPr>
                <w:rFonts w:hint="eastAsia" w:ascii="宋体" w:hAnsi="宋体" w:eastAsia="宋体" w:cs="宋体"/>
                <w:sz w:val="21"/>
                <w:szCs w:val="21"/>
                <w:lang w:val="en-US" w:eastAsia="zh-CN"/>
              </w:rPr>
              <w:t>1</w:t>
            </w:r>
          </w:p>
        </w:tc>
        <w:tc>
          <w:tcPr>
            <w:tcW w:w="1055"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left"/>
              <w:textAlignment w:val="auto"/>
              <w:rPr>
                <w:rFonts w:hint="eastAsia" w:ascii="宋体" w:hAnsi="宋体" w:eastAsia="宋体" w:cs="宋体"/>
                <w:kern w:val="2"/>
                <w:sz w:val="21"/>
                <w:szCs w:val="21"/>
                <w:lang w:val="en-US" w:eastAsia="zh-CN" w:bidi="ar-SA"/>
              </w:rPr>
            </w:pPr>
            <w:r>
              <w:rPr>
                <w:rFonts w:hint="eastAsia" w:ascii="宋体" w:hAnsi="宋体" w:eastAsia="宋体" w:cs="宋体"/>
                <w:sz w:val="21"/>
                <w:szCs w:val="21"/>
                <w:lang w:val="en-US" w:eastAsia="zh-CN"/>
              </w:rPr>
              <w:t>D01主供进线柜</w:t>
            </w:r>
          </w:p>
        </w:tc>
        <w:tc>
          <w:tcPr>
            <w:tcW w:w="1544"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1.隔离刀闸是否有烧蚀现象；</w:t>
            </w:r>
          </w:p>
          <w:p>
            <w:pPr>
              <w:keepNext w:val="0"/>
              <w:keepLines w:val="0"/>
              <w:pageBreakBefore w:val="0"/>
              <w:widowControl w:val="0"/>
              <w:kinsoku/>
              <w:wordWrap/>
              <w:overflowPunct/>
              <w:topLinePunct w:val="0"/>
              <w:autoSpaceDE/>
              <w:autoSpaceDN/>
              <w:bidi w:val="0"/>
              <w:adjustRightInd/>
              <w:snapToGrid/>
              <w:spacing w:line="280" w:lineRule="exact"/>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2.柜内标示牌是否完善；</w:t>
            </w:r>
          </w:p>
          <w:p>
            <w:pPr>
              <w:keepNext w:val="0"/>
              <w:keepLines w:val="0"/>
              <w:pageBreakBefore w:val="0"/>
              <w:widowControl w:val="0"/>
              <w:kinsoku/>
              <w:wordWrap/>
              <w:overflowPunct/>
              <w:topLinePunct w:val="0"/>
              <w:autoSpaceDE/>
              <w:autoSpaceDN/>
              <w:bidi w:val="0"/>
              <w:adjustRightInd/>
              <w:snapToGrid/>
              <w:spacing w:line="280" w:lineRule="exact"/>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3.三相电压显示是否正常；</w:t>
            </w:r>
          </w:p>
          <w:p>
            <w:pPr>
              <w:keepNext w:val="0"/>
              <w:keepLines w:val="0"/>
              <w:pageBreakBefore w:val="0"/>
              <w:widowControl w:val="0"/>
              <w:kinsoku/>
              <w:wordWrap/>
              <w:overflowPunct/>
              <w:topLinePunct w:val="0"/>
              <w:autoSpaceDE/>
              <w:autoSpaceDN/>
              <w:bidi w:val="0"/>
              <w:adjustRightInd/>
              <w:snapToGrid/>
              <w:spacing w:line="280" w:lineRule="exact"/>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4.电流显示是否正常；</w:t>
            </w:r>
          </w:p>
          <w:p>
            <w:pPr>
              <w:keepNext w:val="0"/>
              <w:keepLines w:val="0"/>
              <w:pageBreakBefore w:val="0"/>
              <w:widowControl w:val="0"/>
              <w:kinsoku/>
              <w:wordWrap/>
              <w:overflowPunct/>
              <w:topLinePunct w:val="0"/>
              <w:autoSpaceDE/>
              <w:autoSpaceDN/>
              <w:bidi w:val="0"/>
              <w:adjustRightInd/>
              <w:snapToGrid/>
              <w:spacing w:line="280" w:lineRule="exact"/>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5.观察母排是否有烧蚀现象；</w:t>
            </w:r>
          </w:p>
          <w:p>
            <w:pPr>
              <w:keepNext w:val="0"/>
              <w:keepLines w:val="0"/>
              <w:pageBreakBefore w:val="0"/>
              <w:widowControl w:val="0"/>
              <w:kinsoku/>
              <w:wordWrap/>
              <w:overflowPunct/>
              <w:topLinePunct w:val="0"/>
              <w:autoSpaceDE/>
              <w:autoSpaceDN/>
              <w:bidi w:val="0"/>
              <w:adjustRightInd/>
              <w:snapToGrid/>
              <w:spacing w:line="280" w:lineRule="exact"/>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6.观察断路器是否有烧蚀现象；</w:t>
            </w:r>
          </w:p>
          <w:p>
            <w:pPr>
              <w:keepNext w:val="0"/>
              <w:keepLines w:val="0"/>
              <w:pageBreakBefore w:val="0"/>
              <w:widowControl w:val="0"/>
              <w:kinsoku/>
              <w:wordWrap/>
              <w:overflowPunct/>
              <w:topLinePunct w:val="0"/>
              <w:autoSpaceDE/>
              <w:autoSpaceDN/>
              <w:bidi w:val="0"/>
              <w:adjustRightInd/>
              <w:snapToGrid/>
              <w:spacing w:line="280" w:lineRule="exact"/>
              <w:ind w:right="0" w:rightChars="0"/>
              <w:jc w:val="left"/>
              <w:textAlignment w:val="auto"/>
              <w:rPr>
                <w:rFonts w:hint="eastAsia" w:ascii="宋体" w:hAnsi="宋体" w:eastAsia="宋体" w:cs="宋体"/>
                <w:kern w:val="2"/>
                <w:sz w:val="21"/>
                <w:szCs w:val="21"/>
                <w:lang w:val="en-US" w:eastAsia="zh-CN" w:bidi="ar-SA"/>
              </w:rPr>
            </w:pPr>
            <w:r>
              <w:rPr>
                <w:rFonts w:hint="eastAsia" w:ascii="宋体" w:hAnsi="宋体" w:eastAsia="宋体" w:cs="宋体"/>
                <w:sz w:val="21"/>
                <w:szCs w:val="21"/>
                <w:lang w:val="en-US" w:eastAsia="zh-CN"/>
              </w:rPr>
              <w:t>7.观察绝缘子是否有烧蚀现象。</w:t>
            </w:r>
          </w:p>
        </w:tc>
        <w:tc>
          <w:tcPr>
            <w:tcW w:w="760"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kern w:val="2"/>
                <w:sz w:val="21"/>
                <w:szCs w:val="21"/>
                <w:lang w:val="en-US" w:eastAsia="zh-CN" w:bidi="ar-SA"/>
              </w:rPr>
            </w:pPr>
            <w:r>
              <w:rPr>
                <w:rFonts w:hint="eastAsia" w:ascii="宋体" w:hAnsi="宋体" w:eastAsia="宋体" w:cs="宋体"/>
                <w:sz w:val="21"/>
                <w:szCs w:val="21"/>
                <w:lang w:val="en-US" w:eastAsia="zh-CN"/>
              </w:rPr>
              <w:t>无国家标准</w:t>
            </w:r>
          </w:p>
        </w:tc>
        <w:tc>
          <w:tcPr>
            <w:tcW w:w="615"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c>
          <w:tcPr>
            <w:tcW w:w="616"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407"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kern w:val="2"/>
                <w:sz w:val="21"/>
                <w:szCs w:val="21"/>
                <w:lang w:val="en-US" w:eastAsia="zh-CN" w:bidi="ar-SA"/>
              </w:rPr>
            </w:pPr>
            <w:r>
              <w:rPr>
                <w:rFonts w:hint="eastAsia" w:ascii="宋体" w:hAnsi="宋体" w:eastAsia="宋体" w:cs="宋体"/>
                <w:sz w:val="21"/>
                <w:szCs w:val="21"/>
                <w:lang w:val="en-US" w:eastAsia="zh-CN"/>
              </w:rPr>
              <w:t>2</w:t>
            </w:r>
          </w:p>
        </w:tc>
        <w:tc>
          <w:tcPr>
            <w:tcW w:w="1055"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left"/>
              <w:textAlignment w:val="auto"/>
              <w:rPr>
                <w:rFonts w:hint="eastAsia" w:ascii="宋体" w:hAnsi="宋体" w:eastAsia="宋体" w:cs="宋体"/>
                <w:kern w:val="2"/>
                <w:sz w:val="21"/>
                <w:szCs w:val="21"/>
                <w:lang w:val="en-US" w:eastAsia="zh-CN" w:bidi="ar-SA"/>
              </w:rPr>
            </w:pPr>
            <w:r>
              <w:rPr>
                <w:rFonts w:hint="eastAsia" w:ascii="宋体" w:hAnsi="宋体" w:eastAsia="宋体" w:cs="宋体"/>
                <w:sz w:val="21"/>
                <w:szCs w:val="21"/>
                <w:lang w:val="en-US" w:eastAsia="zh-CN"/>
              </w:rPr>
              <w:t>D03低压出线柜</w:t>
            </w:r>
          </w:p>
        </w:tc>
        <w:tc>
          <w:tcPr>
            <w:tcW w:w="1544"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c>
          <w:tcPr>
            <w:tcW w:w="760"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c>
          <w:tcPr>
            <w:tcW w:w="615"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c>
          <w:tcPr>
            <w:tcW w:w="616"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407"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kern w:val="2"/>
                <w:sz w:val="21"/>
                <w:szCs w:val="21"/>
                <w:lang w:val="en-US" w:eastAsia="zh-CN" w:bidi="ar-SA"/>
              </w:rPr>
            </w:pPr>
            <w:r>
              <w:rPr>
                <w:rFonts w:hint="eastAsia" w:ascii="宋体" w:hAnsi="宋体" w:eastAsia="宋体" w:cs="宋体"/>
                <w:sz w:val="21"/>
                <w:szCs w:val="21"/>
                <w:lang w:val="en-US" w:eastAsia="zh-CN"/>
              </w:rPr>
              <w:t>3</w:t>
            </w:r>
          </w:p>
        </w:tc>
        <w:tc>
          <w:tcPr>
            <w:tcW w:w="1055"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left"/>
              <w:textAlignment w:val="auto"/>
              <w:rPr>
                <w:rFonts w:hint="eastAsia" w:ascii="宋体" w:hAnsi="宋体" w:eastAsia="宋体" w:cs="宋体"/>
                <w:kern w:val="2"/>
                <w:sz w:val="21"/>
                <w:szCs w:val="21"/>
                <w:lang w:val="en-US" w:eastAsia="zh-CN" w:bidi="ar-SA"/>
              </w:rPr>
            </w:pPr>
            <w:r>
              <w:rPr>
                <w:rFonts w:hint="eastAsia" w:ascii="宋体" w:hAnsi="宋体" w:eastAsia="宋体" w:cs="宋体"/>
                <w:sz w:val="21"/>
                <w:szCs w:val="21"/>
                <w:lang w:val="en-US" w:eastAsia="zh-CN"/>
              </w:rPr>
              <w:t>D05低压出线柜</w:t>
            </w:r>
          </w:p>
        </w:tc>
        <w:tc>
          <w:tcPr>
            <w:tcW w:w="1544"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c>
          <w:tcPr>
            <w:tcW w:w="760"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c>
          <w:tcPr>
            <w:tcW w:w="615"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c>
          <w:tcPr>
            <w:tcW w:w="616"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407"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kern w:val="2"/>
                <w:sz w:val="21"/>
                <w:szCs w:val="21"/>
                <w:lang w:val="en-US" w:eastAsia="zh-CN" w:bidi="ar-SA"/>
              </w:rPr>
            </w:pPr>
            <w:r>
              <w:rPr>
                <w:rFonts w:hint="eastAsia" w:ascii="宋体" w:hAnsi="宋体" w:eastAsia="宋体" w:cs="宋体"/>
                <w:sz w:val="21"/>
                <w:szCs w:val="21"/>
                <w:lang w:val="en-US" w:eastAsia="zh-CN"/>
              </w:rPr>
              <w:t>4</w:t>
            </w:r>
          </w:p>
        </w:tc>
        <w:tc>
          <w:tcPr>
            <w:tcW w:w="1055"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left"/>
              <w:textAlignment w:val="auto"/>
              <w:rPr>
                <w:rFonts w:hint="eastAsia" w:ascii="宋体" w:hAnsi="宋体" w:eastAsia="宋体" w:cs="宋体"/>
                <w:kern w:val="2"/>
                <w:sz w:val="21"/>
                <w:szCs w:val="21"/>
                <w:lang w:val="en-US" w:eastAsia="zh-CN" w:bidi="ar-SA"/>
              </w:rPr>
            </w:pPr>
            <w:r>
              <w:rPr>
                <w:rFonts w:hint="eastAsia" w:ascii="宋体" w:hAnsi="宋体" w:eastAsia="宋体" w:cs="宋体"/>
                <w:sz w:val="21"/>
                <w:szCs w:val="21"/>
                <w:lang w:val="en-US" w:eastAsia="zh-CN"/>
              </w:rPr>
              <w:t>D06低压出线柜</w:t>
            </w:r>
          </w:p>
        </w:tc>
        <w:tc>
          <w:tcPr>
            <w:tcW w:w="1544"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c>
          <w:tcPr>
            <w:tcW w:w="760"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c>
          <w:tcPr>
            <w:tcW w:w="615"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c>
          <w:tcPr>
            <w:tcW w:w="616"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407"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kern w:val="2"/>
                <w:sz w:val="21"/>
                <w:szCs w:val="21"/>
                <w:lang w:val="en-US" w:eastAsia="zh-CN" w:bidi="ar-SA"/>
              </w:rPr>
            </w:pPr>
            <w:r>
              <w:rPr>
                <w:rFonts w:hint="eastAsia" w:ascii="宋体" w:hAnsi="宋体" w:eastAsia="宋体" w:cs="宋体"/>
                <w:sz w:val="21"/>
                <w:szCs w:val="21"/>
                <w:lang w:val="en-US" w:eastAsia="zh-CN"/>
              </w:rPr>
              <w:t>5</w:t>
            </w:r>
          </w:p>
        </w:tc>
        <w:tc>
          <w:tcPr>
            <w:tcW w:w="1055"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left"/>
              <w:textAlignment w:val="auto"/>
              <w:rPr>
                <w:rFonts w:hint="eastAsia" w:ascii="宋体" w:hAnsi="宋体" w:eastAsia="宋体" w:cs="宋体"/>
                <w:kern w:val="2"/>
                <w:sz w:val="21"/>
                <w:szCs w:val="21"/>
                <w:lang w:val="en-US" w:eastAsia="zh-CN" w:bidi="ar-SA"/>
              </w:rPr>
            </w:pPr>
            <w:r>
              <w:rPr>
                <w:rFonts w:hint="eastAsia" w:ascii="宋体" w:hAnsi="宋体" w:eastAsia="宋体" w:cs="宋体"/>
                <w:sz w:val="21"/>
                <w:szCs w:val="21"/>
                <w:lang w:val="en-US" w:eastAsia="zh-CN"/>
              </w:rPr>
              <w:t>D04低压出线柜</w:t>
            </w:r>
          </w:p>
        </w:tc>
        <w:tc>
          <w:tcPr>
            <w:tcW w:w="1544"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c>
          <w:tcPr>
            <w:tcW w:w="760"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c>
          <w:tcPr>
            <w:tcW w:w="615"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c>
          <w:tcPr>
            <w:tcW w:w="616"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407"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kern w:val="2"/>
                <w:sz w:val="21"/>
                <w:szCs w:val="21"/>
                <w:lang w:val="en-US" w:eastAsia="zh-CN" w:bidi="ar-SA"/>
              </w:rPr>
            </w:pPr>
            <w:r>
              <w:rPr>
                <w:rFonts w:hint="eastAsia" w:ascii="宋体" w:hAnsi="宋体" w:eastAsia="宋体" w:cs="宋体"/>
                <w:sz w:val="21"/>
                <w:szCs w:val="21"/>
                <w:lang w:val="en-US" w:eastAsia="zh-CN"/>
              </w:rPr>
              <w:t>6</w:t>
            </w:r>
          </w:p>
        </w:tc>
        <w:tc>
          <w:tcPr>
            <w:tcW w:w="1055"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left"/>
              <w:textAlignment w:val="auto"/>
              <w:rPr>
                <w:rFonts w:hint="eastAsia" w:ascii="宋体" w:hAnsi="宋体" w:eastAsia="宋体" w:cs="宋体"/>
                <w:kern w:val="2"/>
                <w:sz w:val="21"/>
                <w:szCs w:val="21"/>
                <w:lang w:val="en-US" w:eastAsia="zh-CN" w:bidi="ar-SA"/>
              </w:rPr>
            </w:pPr>
            <w:r>
              <w:rPr>
                <w:rFonts w:hint="eastAsia" w:ascii="宋体" w:hAnsi="宋体" w:eastAsia="宋体" w:cs="宋体"/>
                <w:sz w:val="21"/>
                <w:szCs w:val="21"/>
                <w:lang w:val="en-US" w:eastAsia="zh-CN"/>
              </w:rPr>
              <w:t>D07联络柜</w:t>
            </w:r>
          </w:p>
        </w:tc>
        <w:tc>
          <w:tcPr>
            <w:tcW w:w="1544"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c>
          <w:tcPr>
            <w:tcW w:w="760"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c>
          <w:tcPr>
            <w:tcW w:w="615"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c>
          <w:tcPr>
            <w:tcW w:w="616"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407"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kern w:val="2"/>
                <w:sz w:val="21"/>
                <w:szCs w:val="21"/>
                <w:lang w:val="en-US" w:eastAsia="zh-CN" w:bidi="ar-SA"/>
              </w:rPr>
            </w:pPr>
            <w:r>
              <w:rPr>
                <w:rFonts w:hint="eastAsia" w:ascii="宋体" w:hAnsi="宋体" w:eastAsia="宋体" w:cs="宋体"/>
                <w:sz w:val="21"/>
                <w:szCs w:val="21"/>
                <w:lang w:val="en-US" w:eastAsia="zh-CN"/>
              </w:rPr>
              <w:t>7</w:t>
            </w:r>
          </w:p>
        </w:tc>
        <w:tc>
          <w:tcPr>
            <w:tcW w:w="1055"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left"/>
              <w:textAlignment w:val="auto"/>
              <w:rPr>
                <w:rFonts w:hint="eastAsia" w:ascii="宋体" w:hAnsi="宋体" w:eastAsia="宋体" w:cs="宋体"/>
                <w:kern w:val="2"/>
                <w:sz w:val="21"/>
                <w:szCs w:val="21"/>
                <w:lang w:val="en-US" w:eastAsia="zh-CN" w:bidi="ar-SA"/>
              </w:rPr>
            </w:pPr>
            <w:r>
              <w:rPr>
                <w:rFonts w:hint="eastAsia" w:ascii="宋体" w:hAnsi="宋体" w:eastAsia="宋体" w:cs="宋体"/>
                <w:sz w:val="21"/>
                <w:szCs w:val="21"/>
                <w:lang w:val="en-US" w:eastAsia="zh-CN"/>
              </w:rPr>
              <w:t>D08低压出线柜</w:t>
            </w:r>
          </w:p>
        </w:tc>
        <w:tc>
          <w:tcPr>
            <w:tcW w:w="1544"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c>
          <w:tcPr>
            <w:tcW w:w="760"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c>
          <w:tcPr>
            <w:tcW w:w="615"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c>
          <w:tcPr>
            <w:tcW w:w="616"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407"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kern w:val="2"/>
                <w:sz w:val="21"/>
                <w:szCs w:val="21"/>
                <w:lang w:val="en-US" w:eastAsia="zh-CN" w:bidi="ar-SA"/>
              </w:rPr>
            </w:pPr>
            <w:r>
              <w:rPr>
                <w:rFonts w:hint="eastAsia" w:ascii="宋体" w:hAnsi="宋体" w:eastAsia="宋体" w:cs="宋体"/>
                <w:sz w:val="21"/>
                <w:szCs w:val="21"/>
                <w:lang w:val="en-US" w:eastAsia="zh-CN"/>
              </w:rPr>
              <w:t>8</w:t>
            </w:r>
          </w:p>
        </w:tc>
        <w:tc>
          <w:tcPr>
            <w:tcW w:w="1055"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left"/>
              <w:textAlignment w:val="auto"/>
              <w:rPr>
                <w:rFonts w:hint="eastAsia" w:ascii="宋体" w:hAnsi="宋体" w:eastAsia="宋体" w:cs="宋体"/>
                <w:kern w:val="2"/>
                <w:sz w:val="21"/>
                <w:szCs w:val="21"/>
                <w:lang w:val="en-US" w:eastAsia="zh-CN" w:bidi="ar-SA"/>
              </w:rPr>
            </w:pPr>
            <w:r>
              <w:rPr>
                <w:rFonts w:hint="eastAsia" w:ascii="宋体" w:hAnsi="宋体" w:eastAsia="宋体" w:cs="宋体"/>
                <w:sz w:val="21"/>
                <w:szCs w:val="21"/>
                <w:lang w:val="en-US" w:eastAsia="zh-CN"/>
              </w:rPr>
              <w:t>D09低压出线柜</w:t>
            </w:r>
          </w:p>
        </w:tc>
        <w:tc>
          <w:tcPr>
            <w:tcW w:w="1544"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c>
          <w:tcPr>
            <w:tcW w:w="760"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c>
          <w:tcPr>
            <w:tcW w:w="615"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c>
          <w:tcPr>
            <w:tcW w:w="616"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407"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kern w:val="2"/>
                <w:sz w:val="21"/>
                <w:szCs w:val="21"/>
                <w:lang w:val="en-US" w:eastAsia="zh-CN" w:bidi="ar-SA"/>
              </w:rPr>
            </w:pPr>
            <w:r>
              <w:rPr>
                <w:rFonts w:hint="eastAsia" w:ascii="宋体" w:hAnsi="宋体" w:eastAsia="宋体" w:cs="宋体"/>
                <w:sz w:val="21"/>
                <w:szCs w:val="21"/>
                <w:lang w:val="en-US" w:eastAsia="zh-CN"/>
              </w:rPr>
              <w:t>9</w:t>
            </w:r>
          </w:p>
        </w:tc>
        <w:tc>
          <w:tcPr>
            <w:tcW w:w="1055"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left"/>
              <w:textAlignment w:val="auto"/>
              <w:rPr>
                <w:rFonts w:hint="eastAsia" w:ascii="宋体" w:hAnsi="宋体" w:eastAsia="宋体" w:cs="宋体"/>
                <w:kern w:val="2"/>
                <w:sz w:val="21"/>
                <w:szCs w:val="21"/>
                <w:lang w:val="en-US" w:eastAsia="zh-CN" w:bidi="ar-SA"/>
              </w:rPr>
            </w:pPr>
            <w:r>
              <w:rPr>
                <w:rFonts w:hint="eastAsia" w:ascii="宋体" w:hAnsi="宋体" w:eastAsia="宋体" w:cs="宋体"/>
                <w:sz w:val="21"/>
                <w:szCs w:val="21"/>
                <w:lang w:val="en-US" w:eastAsia="zh-CN"/>
              </w:rPr>
              <w:t>D10低压出线柜</w:t>
            </w:r>
          </w:p>
        </w:tc>
        <w:tc>
          <w:tcPr>
            <w:tcW w:w="1544"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c>
          <w:tcPr>
            <w:tcW w:w="760"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c>
          <w:tcPr>
            <w:tcW w:w="615"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c>
          <w:tcPr>
            <w:tcW w:w="616"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407"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kern w:val="2"/>
                <w:sz w:val="21"/>
                <w:szCs w:val="21"/>
                <w:lang w:val="en-US" w:eastAsia="zh-CN" w:bidi="ar-SA"/>
              </w:rPr>
            </w:pPr>
            <w:r>
              <w:rPr>
                <w:rFonts w:hint="eastAsia" w:ascii="宋体" w:hAnsi="宋体" w:eastAsia="宋体" w:cs="宋体"/>
                <w:sz w:val="21"/>
                <w:szCs w:val="21"/>
                <w:lang w:val="en-US" w:eastAsia="zh-CN"/>
              </w:rPr>
              <w:t>10</w:t>
            </w:r>
          </w:p>
        </w:tc>
        <w:tc>
          <w:tcPr>
            <w:tcW w:w="1055"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left"/>
              <w:textAlignment w:val="auto"/>
              <w:rPr>
                <w:rFonts w:hint="eastAsia" w:ascii="宋体" w:hAnsi="宋体" w:eastAsia="宋体" w:cs="宋体"/>
                <w:kern w:val="2"/>
                <w:sz w:val="21"/>
                <w:szCs w:val="21"/>
                <w:lang w:val="en-US" w:eastAsia="zh-CN" w:bidi="ar-SA"/>
              </w:rPr>
            </w:pPr>
            <w:r>
              <w:rPr>
                <w:rFonts w:hint="eastAsia" w:ascii="宋体" w:hAnsi="宋体" w:eastAsia="宋体" w:cs="宋体"/>
                <w:sz w:val="21"/>
                <w:szCs w:val="21"/>
                <w:lang w:val="en-US" w:eastAsia="zh-CN"/>
              </w:rPr>
              <w:t>D12低压出线柜</w:t>
            </w:r>
          </w:p>
        </w:tc>
        <w:tc>
          <w:tcPr>
            <w:tcW w:w="1544"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c>
          <w:tcPr>
            <w:tcW w:w="760"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c>
          <w:tcPr>
            <w:tcW w:w="615"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c>
          <w:tcPr>
            <w:tcW w:w="616"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407"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kern w:val="2"/>
                <w:sz w:val="21"/>
                <w:szCs w:val="21"/>
                <w:lang w:val="en-US" w:eastAsia="zh-CN" w:bidi="ar-SA"/>
              </w:rPr>
            </w:pPr>
            <w:r>
              <w:rPr>
                <w:rFonts w:hint="eastAsia" w:ascii="宋体" w:hAnsi="宋体" w:eastAsia="宋体" w:cs="宋体"/>
                <w:sz w:val="21"/>
                <w:szCs w:val="21"/>
                <w:lang w:val="en-US" w:eastAsia="zh-CN"/>
              </w:rPr>
              <w:t>11</w:t>
            </w:r>
          </w:p>
        </w:tc>
        <w:tc>
          <w:tcPr>
            <w:tcW w:w="1055"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D2电容补偿柜</w:t>
            </w:r>
          </w:p>
          <w:p>
            <w:pPr>
              <w:keepNext w:val="0"/>
              <w:keepLines w:val="0"/>
              <w:pageBreakBefore w:val="0"/>
              <w:widowControl w:val="0"/>
              <w:kinsoku/>
              <w:wordWrap/>
              <w:overflowPunct/>
              <w:topLinePunct w:val="0"/>
              <w:autoSpaceDE/>
              <w:autoSpaceDN/>
              <w:bidi w:val="0"/>
              <w:adjustRightInd/>
              <w:snapToGrid/>
              <w:spacing w:line="280" w:lineRule="exact"/>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D11电容补偿柜</w:t>
            </w:r>
          </w:p>
          <w:p>
            <w:pPr>
              <w:keepNext w:val="0"/>
              <w:keepLines w:val="0"/>
              <w:pageBreakBefore w:val="0"/>
              <w:widowControl w:val="0"/>
              <w:kinsoku/>
              <w:wordWrap/>
              <w:overflowPunct/>
              <w:topLinePunct w:val="0"/>
              <w:autoSpaceDE/>
              <w:autoSpaceDN/>
              <w:bidi w:val="0"/>
              <w:adjustRightInd/>
              <w:snapToGrid/>
              <w:spacing w:line="280" w:lineRule="exact"/>
              <w:ind w:right="0" w:rightChars="0"/>
              <w:jc w:val="left"/>
              <w:textAlignment w:val="auto"/>
              <w:rPr>
                <w:rFonts w:hint="eastAsia" w:ascii="宋体" w:hAnsi="宋体" w:eastAsia="宋体" w:cs="宋体"/>
                <w:kern w:val="2"/>
                <w:sz w:val="21"/>
                <w:szCs w:val="21"/>
                <w:lang w:val="en-US" w:eastAsia="zh-CN" w:bidi="ar-SA"/>
              </w:rPr>
            </w:pPr>
          </w:p>
        </w:tc>
        <w:tc>
          <w:tcPr>
            <w:tcW w:w="1544"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隔离刀闸是否有烧蚀现象</w:t>
            </w:r>
          </w:p>
          <w:p>
            <w:pPr>
              <w:keepNext w:val="0"/>
              <w:keepLines w:val="0"/>
              <w:pageBreakBefore w:val="0"/>
              <w:widowControl w:val="0"/>
              <w:kinsoku/>
              <w:wordWrap/>
              <w:overflowPunct/>
              <w:topLinePunct w:val="0"/>
              <w:autoSpaceDE/>
              <w:autoSpaceDN/>
              <w:bidi w:val="0"/>
              <w:adjustRightInd/>
              <w:snapToGrid/>
              <w:spacing w:line="280" w:lineRule="exact"/>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柜内标示牌是否完善;</w:t>
            </w:r>
          </w:p>
          <w:p>
            <w:pPr>
              <w:keepNext w:val="0"/>
              <w:keepLines w:val="0"/>
              <w:pageBreakBefore w:val="0"/>
              <w:widowControl w:val="0"/>
              <w:kinsoku/>
              <w:wordWrap/>
              <w:overflowPunct/>
              <w:topLinePunct w:val="0"/>
              <w:autoSpaceDE/>
              <w:autoSpaceDN/>
              <w:bidi w:val="0"/>
              <w:adjustRightInd/>
              <w:snapToGrid/>
              <w:spacing w:line="280" w:lineRule="exact"/>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三相电压显示是否正常;</w:t>
            </w:r>
          </w:p>
          <w:p>
            <w:pPr>
              <w:keepNext w:val="0"/>
              <w:keepLines w:val="0"/>
              <w:pageBreakBefore w:val="0"/>
              <w:widowControl w:val="0"/>
              <w:kinsoku/>
              <w:wordWrap/>
              <w:overflowPunct/>
              <w:topLinePunct w:val="0"/>
              <w:autoSpaceDE/>
              <w:autoSpaceDN/>
              <w:bidi w:val="0"/>
              <w:adjustRightInd/>
              <w:snapToGrid/>
              <w:spacing w:line="280" w:lineRule="exact"/>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电流是否正常;</w:t>
            </w:r>
          </w:p>
          <w:p>
            <w:pPr>
              <w:keepNext w:val="0"/>
              <w:keepLines w:val="0"/>
              <w:pageBreakBefore w:val="0"/>
              <w:widowControl w:val="0"/>
              <w:kinsoku/>
              <w:wordWrap/>
              <w:overflowPunct/>
              <w:topLinePunct w:val="0"/>
              <w:autoSpaceDE/>
              <w:autoSpaceDN/>
              <w:bidi w:val="0"/>
              <w:adjustRightInd/>
              <w:snapToGrid/>
              <w:spacing w:line="280" w:lineRule="exact"/>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电容补偿仪是否运行正常;</w:t>
            </w:r>
          </w:p>
          <w:p>
            <w:pPr>
              <w:keepNext w:val="0"/>
              <w:keepLines w:val="0"/>
              <w:pageBreakBefore w:val="0"/>
              <w:widowControl w:val="0"/>
              <w:kinsoku/>
              <w:wordWrap/>
              <w:overflowPunct/>
              <w:topLinePunct w:val="0"/>
              <w:autoSpaceDE/>
              <w:autoSpaceDN/>
              <w:bidi w:val="0"/>
              <w:adjustRightInd/>
              <w:snapToGrid/>
              <w:spacing w:line="280" w:lineRule="exact"/>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空开是否断开（电容保险）;</w:t>
            </w:r>
          </w:p>
          <w:p>
            <w:pPr>
              <w:keepNext w:val="0"/>
              <w:keepLines w:val="0"/>
              <w:pageBreakBefore w:val="0"/>
              <w:widowControl w:val="0"/>
              <w:kinsoku/>
              <w:wordWrap/>
              <w:overflowPunct/>
              <w:topLinePunct w:val="0"/>
              <w:autoSpaceDE/>
              <w:autoSpaceDN/>
              <w:bidi w:val="0"/>
              <w:adjustRightInd/>
              <w:snapToGrid/>
              <w:spacing w:line="280" w:lineRule="exact"/>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观察母排是否有烧蚀现象;</w:t>
            </w:r>
          </w:p>
          <w:p>
            <w:pPr>
              <w:keepNext w:val="0"/>
              <w:keepLines w:val="0"/>
              <w:pageBreakBefore w:val="0"/>
              <w:widowControl w:val="0"/>
              <w:kinsoku/>
              <w:wordWrap/>
              <w:overflowPunct/>
              <w:topLinePunct w:val="0"/>
              <w:autoSpaceDE/>
              <w:autoSpaceDN/>
              <w:bidi w:val="0"/>
              <w:adjustRightInd/>
              <w:snapToGrid/>
              <w:spacing w:line="280" w:lineRule="exact"/>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观察接触器是否有烧蚀现象;</w:t>
            </w:r>
          </w:p>
          <w:p>
            <w:pPr>
              <w:keepNext w:val="0"/>
              <w:keepLines w:val="0"/>
              <w:pageBreakBefore w:val="0"/>
              <w:widowControl w:val="0"/>
              <w:kinsoku/>
              <w:wordWrap/>
              <w:overflowPunct/>
              <w:topLinePunct w:val="0"/>
              <w:autoSpaceDE/>
              <w:autoSpaceDN/>
              <w:bidi w:val="0"/>
              <w:adjustRightInd/>
              <w:snapToGrid/>
              <w:spacing w:line="280" w:lineRule="exact"/>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观察绝缘子是否有烧蚀现象;</w:t>
            </w:r>
          </w:p>
          <w:p>
            <w:pPr>
              <w:keepNext w:val="0"/>
              <w:keepLines w:val="0"/>
              <w:pageBreakBefore w:val="0"/>
              <w:widowControl w:val="0"/>
              <w:kinsoku/>
              <w:wordWrap/>
              <w:overflowPunct/>
              <w:topLinePunct w:val="0"/>
              <w:autoSpaceDE/>
              <w:autoSpaceDN/>
              <w:bidi w:val="0"/>
              <w:adjustRightInd/>
              <w:snapToGrid/>
              <w:spacing w:line="280" w:lineRule="exact"/>
              <w:ind w:right="0" w:rightChars="0"/>
              <w:jc w:val="left"/>
              <w:textAlignment w:val="auto"/>
              <w:rPr>
                <w:rFonts w:hint="eastAsia" w:ascii="宋体" w:hAnsi="宋体" w:eastAsia="宋体" w:cs="宋体"/>
                <w:kern w:val="2"/>
                <w:sz w:val="21"/>
                <w:szCs w:val="21"/>
                <w:lang w:val="en-US" w:eastAsia="zh-CN" w:bidi="ar-SA"/>
              </w:rPr>
            </w:pPr>
            <w:r>
              <w:rPr>
                <w:rFonts w:hint="eastAsia" w:ascii="宋体" w:hAnsi="宋体" w:eastAsia="宋体" w:cs="宋体"/>
                <w:sz w:val="21"/>
                <w:szCs w:val="21"/>
                <w:lang w:val="en-US" w:eastAsia="zh-CN"/>
              </w:rPr>
              <w:t>电容是否鼓肚和烧蚀现象.</w:t>
            </w:r>
          </w:p>
        </w:tc>
        <w:tc>
          <w:tcPr>
            <w:tcW w:w="760"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kern w:val="2"/>
                <w:sz w:val="21"/>
                <w:szCs w:val="21"/>
                <w:lang w:val="en-US" w:eastAsia="zh-CN" w:bidi="ar-SA"/>
              </w:rPr>
            </w:pPr>
            <w:r>
              <w:rPr>
                <w:rFonts w:hint="eastAsia" w:ascii="宋体" w:hAnsi="宋体" w:eastAsia="宋体" w:cs="宋体"/>
                <w:sz w:val="21"/>
                <w:szCs w:val="21"/>
                <w:lang w:val="en-US" w:eastAsia="zh-CN"/>
              </w:rPr>
              <w:t>无国家标准</w:t>
            </w:r>
          </w:p>
        </w:tc>
        <w:tc>
          <w:tcPr>
            <w:tcW w:w="615"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c>
          <w:tcPr>
            <w:tcW w:w="616" w:type="pct"/>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center"/>
              <w:textAlignment w:val="auto"/>
              <w:rPr>
                <w:rFonts w:hint="eastAsia" w:ascii="宋体" w:hAnsi="宋体" w:eastAsia="宋体" w:cs="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5000" w:type="pct"/>
            <w:gridSpan w:val="6"/>
            <w:vAlign w:val="center"/>
          </w:tcPr>
          <w:p>
            <w:pPr>
              <w:keepNext w:val="0"/>
              <w:keepLines w:val="0"/>
              <w:pageBreakBefore w:val="0"/>
              <w:widowControl w:val="0"/>
              <w:kinsoku/>
              <w:wordWrap/>
              <w:overflowPunct/>
              <w:topLinePunct w:val="0"/>
              <w:autoSpaceDE/>
              <w:autoSpaceDN/>
              <w:bidi w:val="0"/>
              <w:adjustRightInd/>
              <w:snapToGrid/>
              <w:spacing w:line="280" w:lineRule="exact"/>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低压电气设备（电流互感器/开关设备/绝缘套管/支柱绝缘子/母排/避雷器/电缆等）日常巡视，损坏更换。</w:t>
            </w:r>
          </w:p>
        </w:tc>
      </w:tr>
    </w:tbl>
    <w:p>
      <w:pPr>
        <w:rPr>
          <w:rFonts w:hint="default"/>
          <w:lang w:val="en-US" w:eastAsia="zh-CN"/>
        </w:rPr>
      </w:pPr>
      <w:r>
        <w:rPr>
          <w:rFonts w:hint="default"/>
          <w:lang w:val="en-US" w:eastAsia="zh-CN"/>
        </w:rPr>
        <w:br w:type="page"/>
      </w:r>
    </w:p>
    <w:p>
      <w:pPr>
        <w:pStyle w:val="2"/>
        <w:bidi w:val="0"/>
        <w:rPr>
          <w:rFonts w:hint="eastAsia" w:ascii="黑体" w:hAnsi="黑体" w:eastAsia="黑体" w:cs="黑体"/>
          <w:b w:val="0"/>
          <w:bCs/>
          <w:sz w:val="32"/>
          <w:szCs w:val="32"/>
          <w:lang w:val="en-US" w:eastAsia="zh-CN"/>
        </w:rPr>
      </w:pPr>
      <w:r>
        <w:rPr>
          <w:rFonts w:hint="eastAsia" w:ascii="黑体" w:hAnsi="黑体" w:eastAsia="黑体"/>
          <w:b w:val="0"/>
          <w:bCs/>
          <w:color w:val="auto"/>
          <w:sz w:val="32"/>
          <w:szCs w:val="32"/>
        </w:rPr>
        <w:t>日常维护保养内容</w:t>
      </w:r>
      <w:r>
        <w:rPr>
          <w:rFonts w:hint="eastAsia" w:ascii="黑体" w:hAnsi="黑体" w:eastAsia="黑体" w:cs="黑体"/>
          <w:b w:val="0"/>
          <w:bCs/>
          <w:sz w:val="32"/>
          <w:szCs w:val="32"/>
          <w:lang w:val="en-US" w:eastAsia="zh-CN"/>
        </w:rPr>
        <w:t>（</w:t>
      </w:r>
      <w:r>
        <w:rPr>
          <w:rFonts w:hint="eastAsia" w:ascii="黑体" w:hAnsi="黑体" w:eastAsia="黑体" w:cs="黑体"/>
          <w:b w:val="0"/>
          <w:bCs/>
          <w:sz w:val="32"/>
          <w:szCs w:val="32"/>
          <w:u w:val="none"/>
          <w:lang w:val="en-US" w:eastAsia="zh-CN"/>
        </w:rPr>
        <w:t>每年一次</w:t>
      </w:r>
      <w:r>
        <w:rPr>
          <w:rFonts w:hint="eastAsia" w:ascii="黑体" w:hAnsi="黑体" w:eastAsia="黑体" w:cs="黑体"/>
          <w:b w:val="0"/>
          <w:bCs/>
          <w:sz w:val="32"/>
          <w:szCs w:val="32"/>
          <w:lang w:val="en-US" w:eastAsia="zh-CN"/>
        </w:rPr>
        <w:t>）</w:t>
      </w:r>
    </w:p>
    <w:tbl>
      <w:tblPr>
        <w:tblStyle w:val="6"/>
        <w:tblW w:w="54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68"/>
        <w:gridCol w:w="2302"/>
        <w:gridCol w:w="2636"/>
        <w:gridCol w:w="1650"/>
        <w:gridCol w:w="1335"/>
        <w:gridCol w:w="98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9" w:type="pct"/>
            <w:vAlign w:val="center"/>
          </w:tcPr>
          <w:p>
            <w:pPr>
              <w:keepNext w:val="0"/>
              <w:keepLines w:val="0"/>
              <w:pageBreakBefore w:val="0"/>
              <w:kinsoku/>
              <w:wordWrap/>
              <w:overflowPunct/>
              <w:topLinePunct w:val="0"/>
              <w:autoSpaceDE/>
              <w:autoSpaceDN/>
              <w:bidi w:val="0"/>
              <w:adjustRightInd/>
              <w:snapToGrid/>
              <w:spacing w:line="240" w:lineRule="auto"/>
              <w:ind w:right="0" w:rightChars="0"/>
              <w:jc w:val="center"/>
              <w:textAlignment w:val="auto"/>
              <w:rPr>
                <w:rFonts w:hint="eastAsia" w:ascii="黑体" w:hAnsi="黑体" w:eastAsia="黑体" w:cs="黑体"/>
                <w:b/>
                <w:bCs/>
                <w:kern w:val="2"/>
                <w:sz w:val="21"/>
                <w:szCs w:val="21"/>
                <w:lang w:val="en-US" w:eastAsia="zh-CN" w:bidi="ar-SA"/>
              </w:rPr>
            </w:pPr>
            <w:r>
              <w:rPr>
                <w:rFonts w:hint="eastAsia" w:ascii="黑体" w:hAnsi="黑体" w:eastAsia="黑体" w:cs="黑体"/>
                <w:b/>
                <w:bCs/>
                <w:sz w:val="21"/>
                <w:szCs w:val="21"/>
                <w:lang w:val="en-US" w:eastAsia="zh-CN"/>
              </w:rPr>
              <w:t>序号</w:t>
            </w:r>
          </w:p>
        </w:tc>
        <w:tc>
          <w:tcPr>
            <w:tcW w:w="1228" w:type="pct"/>
            <w:vAlign w:val="center"/>
          </w:tcPr>
          <w:p>
            <w:pPr>
              <w:keepNext w:val="0"/>
              <w:keepLines w:val="0"/>
              <w:pageBreakBefore w:val="0"/>
              <w:kinsoku/>
              <w:wordWrap/>
              <w:overflowPunct/>
              <w:topLinePunct w:val="0"/>
              <w:autoSpaceDE/>
              <w:autoSpaceDN/>
              <w:bidi w:val="0"/>
              <w:adjustRightInd/>
              <w:snapToGrid/>
              <w:spacing w:line="240" w:lineRule="auto"/>
              <w:ind w:right="0" w:rightChars="0"/>
              <w:jc w:val="center"/>
              <w:textAlignment w:val="auto"/>
              <w:rPr>
                <w:rFonts w:hint="eastAsia" w:ascii="黑体" w:hAnsi="黑体" w:eastAsia="黑体" w:cs="黑体"/>
                <w:b/>
                <w:bCs/>
                <w:kern w:val="2"/>
                <w:sz w:val="21"/>
                <w:szCs w:val="21"/>
                <w:lang w:val="en-US" w:eastAsia="zh-CN" w:bidi="ar-SA"/>
              </w:rPr>
            </w:pPr>
            <w:r>
              <w:rPr>
                <w:rFonts w:hint="eastAsia" w:ascii="黑体" w:hAnsi="黑体" w:eastAsia="黑体" w:cs="黑体"/>
                <w:b/>
                <w:bCs/>
                <w:sz w:val="21"/>
                <w:szCs w:val="21"/>
                <w:lang w:val="en-US" w:eastAsia="zh-CN"/>
              </w:rPr>
              <w:t>名称</w:t>
            </w:r>
          </w:p>
        </w:tc>
        <w:tc>
          <w:tcPr>
            <w:tcW w:w="1406" w:type="pct"/>
            <w:vAlign w:val="center"/>
          </w:tcPr>
          <w:p>
            <w:pPr>
              <w:keepNext w:val="0"/>
              <w:keepLines w:val="0"/>
              <w:pageBreakBefore w:val="0"/>
              <w:kinsoku/>
              <w:wordWrap/>
              <w:overflowPunct/>
              <w:topLinePunct w:val="0"/>
              <w:autoSpaceDE/>
              <w:autoSpaceDN/>
              <w:bidi w:val="0"/>
              <w:adjustRightInd/>
              <w:snapToGrid/>
              <w:spacing w:line="240" w:lineRule="auto"/>
              <w:ind w:right="0" w:rightChars="0"/>
              <w:jc w:val="center"/>
              <w:textAlignment w:val="auto"/>
              <w:rPr>
                <w:rFonts w:hint="eastAsia" w:ascii="黑体" w:hAnsi="黑体" w:eastAsia="黑体" w:cs="黑体"/>
                <w:b/>
                <w:bCs/>
                <w:kern w:val="2"/>
                <w:sz w:val="21"/>
                <w:szCs w:val="21"/>
                <w:lang w:val="en-US" w:eastAsia="zh-CN" w:bidi="ar-SA"/>
              </w:rPr>
            </w:pPr>
            <w:r>
              <w:rPr>
                <w:rFonts w:hint="eastAsia" w:ascii="黑体" w:hAnsi="黑体" w:eastAsia="黑体" w:cs="黑体"/>
                <w:b/>
                <w:bCs/>
                <w:sz w:val="21"/>
                <w:szCs w:val="21"/>
                <w:lang w:val="en-US" w:eastAsia="zh-CN"/>
              </w:rPr>
              <w:t>维护保养内容</w:t>
            </w:r>
          </w:p>
        </w:tc>
        <w:tc>
          <w:tcPr>
            <w:tcW w:w="880" w:type="pct"/>
            <w:vAlign w:val="center"/>
          </w:tcPr>
          <w:p>
            <w:pPr>
              <w:keepNext w:val="0"/>
              <w:keepLines w:val="0"/>
              <w:pageBreakBefore w:val="0"/>
              <w:kinsoku/>
              <w:wordWrap/>
              <w:overflowPunct/>
              <w:topLinePunct w:val="0"/>
              <w:autoSpaceDE/>
              <w:autoSpaceDN/>
              <w:bidi w:val="0"/>
              <w:adjustRightInd/>
              <w:snapToGrid/>
              <w:spacing w:line="240" w:lineRule="auto"/>
              <w:ind w:right="0" w:rightChars="0"/>
              <w:jc w:val="center"/>
              <w:textAlignment w:val="auto"/>
              <w:rPr>
                <w:rFonts w:hint="eastAsia" w:ascii="黑体" w:hAnsi="黑体" w:eastAsia="黑体" w:cs="黑体"/>
                <w:b/>
                <w:bCs/>
                <w:kern w:val="2"/>
                <w:sz w:val="21"/>
                <w:szCs w:val="21"/>
                <w:lang w:val="en-US" w:eastAsia="zh-CN" w:bidi="ar-SA"/>
              </w:rPr>
            </w:pPr>
            <w:r>
              <w:rPr>
                <w:rFonts w:hint="eastAsia" w:ascii="黑体" w:hAnsi="黑体" w:eastAsia="黑体" w:cs="黑体"/>
                <w:b/>
                <w:bCs/>
                <w:sz w:val="21"/>
                <w:szCs w:val="21"/>
                <w:lang w:val="en-US" w:eastAsia="zh-CN"/>
              </w:rPr>
              <w:t>维护保养标准及要求</w:t>
            </w:r>
          </w:p>
        </w:tc>
        <w:tc>
          <w:tcPr>
            <w:tcW w:w="712" w:type="pct"/>
            <w:vAlign w:val="center"/>
          </w:tcPr>
          <w:p>
            <w:pPr>
              <w:keepNext w:val="0"/>
              <w:keepLines w:val="0"/>
              <w:pageBreakBefore w:val="0"/>
              <w:widowControl w:val="0"/>
              <w:kinsoku/>
              <w:wordWrap/>
              <w:overflowPunct/>
              <w:topLinePunct w:val="0"/>
              <w:autoSpaceDE/>
              <w:autoSpaceDN/>
              <w:bidi w:val="0"/>
              <w:adjustRightInd/>
              <w:snapToGrid/>
              <w:spacing w:line="240" w:lineRule="auto"/>
              <w:ind w:right="0" w:rightChars="0"/>
              <w:jc w:val="center"/>
              <w:textAlignment w:val="auto"/>
              <w:rPr>
                <w:rFonts w:hint="eastAsia" w:ascii="黑体" w:hAnsi="黑体" w:eastAsia="黑体" w:cs="黑体"/>
                <w:b/>
                <w:bCs/>
                <w:kern w:val="2"/>
                <w:sz w:val="21"/>
                <w:szCs w:val="21"/>
                <w:lang w:val="en-US" w:eastAsia="zh-CN" w:bidi="ar-SA"/>
              </w:rPr>
            </w:pPr>
            <w:r>
              <w:rPr>
                <w:rFonts w:hint="eastAsia" w:ascii="黑体" w:hAnsi="黑体" w:eastAsia="黑体" w:cs="黑体"/>
                <w:b/>
                <w:bCs/>
                <w:sz w:val="21"/>
                <w:szCs w:val="21"/>
                <w:lang w:val="en-US" w:eastAsia="zh-CN"/>
              </w:rPr>
              <w:t>是否完成</w:t>
            </w:r>
          </w:p>
        </w:tc>
        <w:tc>
          <w:tcPr>
            <w:tcW w:w="523" w:type="pct"/>
            <w:vAlign w:val="center"/>
          </w:tcPr>
          <w:p>
            <w:pPr>
              <w:keepNext w:val="0"/>
              <w:keepLines w:val="0"/>
              <w:pageBreakBefore w:val="0"/>
              <w:widowControl w:val="0"/>
              <w:kinsoku/>
              <w:wordWrap/>
              <w:overflowPunct/>
              <w:topLinePunct w:val="0"/>
              <w:autoSpaceDE/>
              <w:autoSpaceDN/>
              <w:bidi w:val="0"/>
              <w:adjustRightInd/>
              <w:snapToGrid/>
              <w:spacing w:line="240" w:lineRule="auto"/>
              <w:ind w:right="0" w:rightChars="0"/>
              <w:jc w:val="center"/>
              <w:textAlignment w:val="auto"/>
              <w:rPr>
                <w:rFonts w:hint="eastAsia" w:ascii="黑体" w:hAnsi="黑体" w:eastAsia="黑体" w:cs="黑体"/>
                <w:b/>
                <w:bCs/>
                <w:kern w:val="2"/>
                <w:sz w:val="21"/>
                <w:szCs w:val="21"/>
                <w:lang w:val="en-US" w:eastAsia="zh-CN" w:bidi="ar-SA"/>
              </w:rPr>
            </w:pPr>
            <w:r>
              <w:rPr>
                <w:rFonts w:hint="eastAsia" w:ascii="黑体" w:hAnsi="黑体" w:eastAsia="黑体" w:cs="黑体"/>
                <w:b/>
                <w:bCs/>
                <w:sz w:val="21"/>
                <w:szCs w:val="21"/>
                <w:lang w:val="en-US" w:eastAsia="zh-CN"/>
              </w:rPr>
              <w:t>是否配件更换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764" w:type="pct"/>
            <w:gridSpan w:val="4"/>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b/>
                <w:bCs/>
                <w:sz w:val="21"/>
                <w:szCs w:val="21"/>
                <w:lang w:val="en-US" w:eastAsia="zh-CN"/>
              </w:rPr>
            </w:pPr>
            <w:r>
              <w:rPr>
                <w:rFonts w:hint="eastAsia" w:ascii="宋体" w:hAnsi="宋体" w:eastAsia="宋体" w:cs="宋体"/>
                <w:b/>
                <w:bCs w:val="0"/>
                <w:sz w:val="21"/>
                <w:szCs w:val="21"/>
                <w:lang w:val="en-US" w:eastAsia="zh-CN"/>
              </w:rPr>
              <w:t>10KV高压柜</w:t>
            </w:r>
          </w:p>
        </w:tc>
        <w:tc>
          <w:tcPr>
            <w:tcW w:w="712" w:type="pct"/>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b/>
                <w:bCs w:val="0"/>
                <w:sz w:val="21"/>
                <w:szCs w:val="21"/>
                <w:lang w:val="en-US" w:eastAsia="zh-CN"/>
              </w:rPr>
            </w:pPr>
          </w:p>
        </w:tc>
        <w:tc>
          <w:tcPr>
            <w:tcW w:w="523" w:type="pct"/>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b/>
                <w:bCs w:val="0"/>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9" w:type="pct"/>
            <w:vAlign w:val="center"/>
          </w:tcPr>
          <w:p>
            <w:pPr>
              <w:keepNext w:val="0"/>
              <w:keepLines w:val="0"/>
              <w:pageBreakBefore w:val="0"/>
              <w:kinsoku/>
              <w:wordWrap/>
              <w:overflowPunct/>
              <w:topLinePunct w:val="0"/>
              <w:autoSpaceDE/>
              <w:autoSpaceDN/>
              <w:bidi w:val="0"/>
              <w:adjustRightInd/>
              <w:snapToGrid/>
              <w:spacing w:line="240" w:lineRule="auto"/>
              <w:ind w:right="0" w:rightChars="0"/>
              <w:jc w:val="center"/>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w:t>
            </w:r>
          </w:p>
        </w:tc>
        <w:tc>
          <w:tcPr>
            <w:tcW w:w="1228" w:type="pct"/>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G1高压进线柜</w:t>
            </w:r>
          </w:p>
        </w:tc>
        <w:tc>
          <w:tcPr>
            <w:tcW w:w="1406" w:type="pct"/>
            <w:vMerge w:val="restart"/>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电流互感器：绝缘电阻/交流耐压试验/一次绕组直流电阻测量；</w:t>
            </w:r>
          </w:p>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电压互感器：绝缘电阻/交流耐压试验/电压比；</w:t>
            </w:r>
          </w:p>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开关设备：绝缘电阻/导电回路电阻/交流耐压试验（断路器主回路对地、相间及断口）；</w:t>
            </w:r>
          </w:p>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绝缘套管：绝缘电阻/交流耐压试验。支柱绝缘子：绝缘电阻/交流耐压试验；</w:t>
            </w:r>
          </w:p>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母排：绝缘电阻/交流耐压试验；</w:t>
            </w:r>
          </w:p>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避雷器：绝缘电阻/工频放电电压/底座绝缘电阻接地装置；</w:t>
            </w:r>
          </w:p>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电缆：绝缘电阻/直流耐压试验。</w:t>
            </w:r>
          </w:p>
        </w:tc>
        <w:tc>
          <w:tcPr>
            <w:tcW w:w="880" w:type="pct"/>
            <w:vMerge w:val="restart"/>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依据中华人民共和国电力行业标准DL/T596-1996</w:t>
            </w:r>
          </w:p>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（每1-3年/大修后/必要时）</w:t>
            </w:r>
          </w:p>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c>
          <w:tcPr>
            <w:tcW w:w="712" w:type="pct"/>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c>
          <w:tcPr>
            <w:tcW w:w="523" w:type="pct"/>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9" w:type="pct"/>
            <w:vAlign w:val="center"/>
          </w:tcPr>
          <w:p>
            <w:pPr>
              <w:keepNext w:val="0"/>
              <w:keepLines w:val="0"/>
              <w:pageBreakBefore w:val="0"/>
              <w:kinsoku/>
              <w:wordWrap/>
              <w:overflowPunct/>
              <w:topLinePunct w:val="0"/>
              <w:autoSpaceDE/>
              <w:autoSpaceDN/>
              <w:bidi w:val="0"/>
              <w:adjustRightInd/>
              <w:snapToGrid/>
              <w:spacing w:line="240" w:lineRule="auto"/>
              <w:ind w:right="0" w:rightChars="0"/>
              <w:jc w:val="center"/>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w:t>
            </w:r>
          </w:p>
        </w:tc>
        <w:tc>
          <w:tcPr>
            <w:tcW w:w="1228" w:type="pct"/>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G2计量柜</w:t>
            </w:r>
          </w:p>
        </w:tc>
        <w:tc>
          <w:tcPr>
            <w:tcW w:w="1406" w:type="pct"/>
            <w:vMerge w:val="continue"/>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c>
          <w:tcPr>
            <w:tcW w:w="880" w:type="pct"/>
            <w:vMerge w:val="continue"/>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c>
          <w:tcPr>
            <w:tcW w:w="712" w:type="pct"/>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c>
          <w:tcPr>
            <w:tcW w:w="523" w:type="pct"/>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9" w:type="pct"/>
            <w:vAlign w:val="center"/>
          </w:tcPr>
          <w:p>
            <w:pPr>
              <w:keepNext w:val="0"/>
              <w:keepLines w:val="0"/>
              <w:pageBreakBefore w:val="0"/>
              <w:kinsoku/>
              <w:wordWrap/>
              <w:overflowPunct/>
              <w:topLinePunct w:val="0"/>
              <w:autoSpaceDE/>
              <w:autoSpaceDN/>
              <w:bidi w:val="0"/>
              <w:adjustRightInd/>
              <w:snapToGrid/>
              <w:spacing w:line="240" w:lineRule="auto"/>
              <w:ind w:right="0" w:rightChars="0"/>
              <w:jc w:val="center"/>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3</w:t>
            </w:r>
          </w:p>
        </w:tc>
        <w:tc>
          <w:tcPr>
            <w:tcW w:w="1228" w:type="pct"/>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G3PT柜</w:t>
            </w:r>
          </w:p>
        </w:tc>
        <w:tc>
          <w:tcPr>
            <w:tcW w:w="1406" w:type="pct"/>
            <w:vMerge w:val="continue"/>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c>
          <w:tcPr>
            <w:tcW w:w="880" w:type="pct"/>
            <w:vMerge w:val="continue"/>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c>
          <w:tcPr>
            <w:tcW w:w="712" w:type="pct"/>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c>
          <w:tcPr>
            <w:tcW w:w="523" w:type="pct"/>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9" w:type="pct"/>
            <w:vAlign w:val="center"/>
          </w:tcPr>
          <w:p>
            <w:pPr>
              <w:keepNext w:val="0"/>
              <w:keepLines w:val="0"/>
              <w:pageBreakBefore w:val="0"/>
              <w:kinsoku/>
              <w:wordWrap/>
              <w:overflowPunct/>
              <w:topLinePunct w:val="0"/>
              <w:autoSpaceDE/>
              <w:autoSpaceDN/>
              <w:bidi w:val="0"/>
              <w:adjustRightInd/>
              <w:snapToGrid/>
              <w:spacing w:line="240" w:lineRule="auto"/>
              <w:ind w:right="0" w:rightChars="0"/>
              <w:jc w:val="center"/>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4</w:t>
            </w:r>
          </w:p>
        </w:tc>
        <w:tc>
          <w:tcPr>
            <w:tcW w:w="1228" w:type="pct"/>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G4出线柜</w:t>
            </w:r>
          </w:p>
        </w:tc>
        <w:tc>
          <w:tcPr>
            <w:tcW w:w="1406" w:type="pct"/>
            <w:vMerge w:val="continue"/>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c>
          <w:tcPr>
            <w:tcW w:w="880" w:type="pct"/>
            <w:vMerge w:val="continue"/>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c>
          <w:tcPr>
            <w:tcW w:w="712" w:type="pct"/>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c>
          <w:tcPr>
            <w:tcW w:w="523" w:type="pct"/>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9" w:type="pct"/>
            <w:vAlign w:val="center"/>
          </w:tcPr>
          <w:p>
            <w:pPr>
              <w:keepNext w:val="0"/>
              <w:keepLines w:val="0"/>
              <w:pageBreakBefore w:val="0"/>
              <w:kinsoku/>
              <w:wordWrap/>
              <w:overflowPunct/>
              <w:topLinePunct w:val="0"/>
              <w:autoSpaceDE/>
              <w:autoSpaceDN/>
              <w:bidi w:val="0"/>
              <w:adjustRightInd/>
              <w:snapToGrid/>
              <w:spacing w:line="240" w:lineRule="auto"/>
              <w:ind w:right="0" w:rightChars="0"/>
              <w:jc w:val="center"/>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5</w:t>
            </w:r>
          </w:p>
        </w:tc>
        <w:tc>
          <w:tcPr>
            <w:tcW w:w="1228" w:type="pct"/>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G5联络柜</w:t>
            </w:r>
          </w:p>
        </w:tc>
        <w:tc>
          <w:tcPr>
            <w:tcW w:w="1406" w:type="pct"/>
            <w:vMerge w:val="continue"/>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c>
          <w:tcPr>
            <w:tcW w:w="880" w:type="pct"/>
            <w:vMerge w:val="continue"/>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c>
          <w:tcPr>
            <w:tcW w:w="712" w:type="pct"/>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c>
          <w:tcPr>
            <w:tcW w:w="523" w:type="pct"/>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9" w:type="pct"/>
            <w:vAlign w:val="center"/>
          </w:tcPr>
          <w:p>
            <w:pPr>
              <w:keepNext w:val="0"/>
              <w:keepLines w:val="0"/>
              <w:pageBreakBefore w:val="0"/>
              <w:kinsoku/>
              <w:wordWrap/>
              <w:overflowPunct/>
              <w:topLinePunct w:val="0"/>
              <w:autoSpaceDE/>
              <w:autoSpaceDN/>
              <w:bidi w:val="0"/>
              <w:adjustRightInd/>
              <w:snapToGrid/>
              <w:spacing w:line="240" w:lineRule="auto"/>
              <w:ind w:right="0" w:rightChars="0"/>
              <w:jc w:val="center"/>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6</w:t>
            </w:r>
          </w:p>
        </w:tc>
        <w:tc>
          <w:tcPr>
            <w:tcW w:w="1228" w:type="pct"/>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G6提升柜</w:t>
            </w:r>
          </w:p>
        </w:tc>
        <w:tc>
          <w:tcPr>
            <w:tcW w:w="1406" w:type="pct"/>
            <w:vMerge w:val="continue"/>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c>
          <w:tcPr>
            <w:tcW w:w="880" w:type="pct"/>
            <w:vMerge w:val="continue"/>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c>
          <w:tcPr>
            <w:tcW w:w="712" w:type="pct"/>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c>
          <w:tcPr>
            <w:tcW w:w="523" w:type="pct"/>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9" w:type="pct"/>
            <w:vAlign w:val="center"/>
          </w:tcPr>
          <w:p>
            <w:pPr>
              <w:keepNext w:val="0"/>
              <w:keepLines w:val="0"/>
              <w:pageBreakBefore w:val="0"/>
              <w:kinsoku/>
              <w:wordWrap/>
              <w:overflowPunct/>
              <w:topLinePunct w:val="0"/>
              <w:autoSpaceDE/>
              <w:autoSpaceDN/>
              <w:bidi w:val="0"/>
              <w:adjustRightInd/>
              <w:snapToGrid/>
              <w:spacing w:line="240" w:lineRule="auto"/>
              <w:ind w:right="0" w:rightChars="0"/>
              <w:jc w:val="center"/>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7</w:t>
            </w:r>
          </w:p>
        </w:tc>
        <w:tc>
          <w:tcPr>
            <w:tcW w:w="1228" w:type="pct"/>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G7出线柜</w:t>
            </w:r>
          </w:p>
        </w:tc>
        <w:tc>
          <w:tcPr>
            <w:tcW w:w="1406" w:type="pct"/>
            <w:vMerge w:val="continue"/>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c>
          <w:tcPr>
            <w:tcW w:w="880" w:type="pct"/>
            <w:vMerge w:val="continue"/>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c>
          <w:tcPr>
            <w:tcW w:w="712" w:type="pct"/>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c>
          <w:tcPr>
            <w:tcW w:w="523" w:type="pct"/>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9" w:type="pct"/>
            <w:vAlign w:val="center"/>
          </w:tcPr>
          <w:p>
            <w:pPr>
              <w:keepNext w:val="0"/>
              <w:keepLines w:val="0"/>
              <w:pageBreakBefore w:val="0"/>
              <w:kinsoku/>
              <w:wordWrap/>
              <w:overflowPunct/>
              <w:topLinePunct w:val="0"/>
              <w:autoSpaceDE/>
              <w:autoSpaceDN/>
              <w:bidi w:val="0"/>
              <w:adjustRightInd/>
              <w:snapToGrid/>
              <w:spacing w:line="240" w:lineRule="auto"/>
              <w:ind w:right="0" w:rightChars="0"/>
              <w:jc w:val="center"/>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8</w:t>
            </w:r>
          </w:p>
        </w:tc>
        <w:tc>
          <w:tcPr>
            <w:tcW w:w="1228" w:type="pct"/>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G8PT柜</w:t>
            </w:r>
          </w:p>
        </w:tc>
        <w:tc>
          <w:tcPr>
            <w:tcW w:w="1406" w:type="pct"/>
            <w:vMerge w:val="continue"/>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c>
          <w:tcPr>
            <w:tcW w:w="880" w:type="pct"/>
            <w:vMerge w:val="continue"/>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c>
          <w:tcPr>
            <w:tcW w:w="712" w:type="pct"/>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c>
          <w:tcPr>
            <w:tcW w:w="523" w:type="pct"/>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9" w:type="pct"/>
            <w:vAlign w:val="center"/>
          </w:tcPr>
          <w:p>
            <w:pPr>
              <w:keepNext w:val="0"/>
              <w:keepLines w:val="0"/>
              <w:pageBreakBefore w:val="0"/>
              <w:kinsoku/>
              <w:wordWrap/>
              <w:overflowPunct/>
              <w:topLinePunct w:val="0"/>
              <w:autoSpaceDE/>
              <w:autoSpaceDN/>
              <w:bidi w:val="0"/>
              <w:adjustRightInd/>
              <w:snapToGrid/>
              <w:spacing w:line="240" w:lineRule="auto"/>
              <w:ind w:right="0" w:rightChars="0"/>
              <w:jc w:val="center"/>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9</w:t>
            </w:r>
          </w:p>
        </w:tc>
        <w:tc>
          <w:tcPr>
            <w:tcW w:w="1228" w:type="pct"/>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G9计量柜</w:t>
            </w:r>
          </w:p>
        </w:tc>
        <w:tc>
          <w:tcPr>
            <w:tcW w:w="1406" w:type="pct"/>
            <w:vMerge w:val="continue"/>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c>
          <w:tcPr>
            <w:tcW w:w="880" w:type="pct"/>
            <w:vMerge w:val="continue"/>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c>
          <w:tcPr>
            <w:tcW w:w="712" w:type="pct"/>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c>
          <w:tcPr>
            <w:tcW w:w="523" w:type="pct"/>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9" w:type="pct"/>
            <w:vAlign w:val="center"/>
          </w:tcPr>
          <w:p>
            <w:pPr>
              <w:keepNext w:val="0"/>
              <w:keepLines w:val="0"/>
              <w:pageBreakBefore w:val="0"/>
              <w:kinsoku/>
              <w:wordWrap/>
              <w:overflowPunct/>
              <w:topLinePunct w:val="0"/>
              <w:autoSpaceDE/>
              <w:autoSpaceDN/>
              <w:bidi w:val="0"/>
              <w:adjustRightInd/>
              <w:snapToGrid/>
              <w:spacing w:line="240" w:lineRule="auto"/>
              <w:ind w:right="0" w:rightChars="0"/>
              <w:jc w:val="center"/>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10</w:t>
            </w:r>
          </w:p>
        </w:tc>
        <w:tc>
          <w:tcPr>
            <w:tcW w:w="1228" w:type="pct"/>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G10高压进线柜</w:t>
            </w:r>
          </w:p>
        </w:tc>
        <w:tc>
          <w:tcPr>
            <w:tcW w:w="1406" w:type="pct"/>
            <w:vMerge w:val="continue"/>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c>
          <w:tcPr>
            <w:tcW w:w="880" w:type="pct"/>
            <w:vMerge w:val="continue"/>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c>
          <w:tcPr>
            <w:tcW w:w="712" w:type="pct"/>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c>
          <w:tcPr>
            <w:tcW w:w="523" w:type="pct"/>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9" w:type="pct"/>
            <w:vAlign w:val="center"/>
          </w:tcPr>
          <w:p>
            <w:pPr>
              <w:keepNext w:val="0"/>
              <w:keepLines w:val="0"/>
              <w:pageBreakBefore w:val="0"/>
              <w:kinsoku/>
              <w:wordWrap/>
              <w:overflowPunct/>
              <w:topLinePunct w:val="0"/>
              <w:autoSpaceDE/>
              <w:autoSpaceDN/>
              <w:bidi w:val="0"/>
              <w:adjustRightInd/>
              <w:snapToGrid/>
              <w:spacing w:line="240" w:lineRule="auto"/>
              <w:ind w:right="0" w:rightChars="0"/>
              <w:jc w:val="center"/>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11</w:t>
            </w:r>
          </w:p>
        </w:tc>
        <w:tc>
          <w:tcPr>
            <w:tcW w:w="1228" w:type="pct"/>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高压配电房接地装置</w:t>
            </w:r>
          </w:p>
        </w:tc>
        <w:tc>
          <w:tcPr>
            <w:tcW w:w="1406" w:type="pct"/>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接地装置(接地电阻不大于4Ω)</w:t>
            </w:r>
          </w:p>
        </w:tc>
        <w:tc>
          <w:tcPr>
            <w:tcW w:w="880" w:type="pct"/>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周期不超过6年</w:t>
            </w:r>
          </w:p>
        </w:tc>
        <w:tc>
          <w:tcPr>
            <w:tcW w:w="712" w:type="pct"/>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c>
          <w:tcPr>
            <w:tcW w:w="523" w:type="pct"/>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764" w:type="pct"/>
            <w:gridSpan w:val="4"/>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b/>
                <w:bCs w:val="0"/>
                <w:sz w:val="21"/>
                <w:szCs w:val="21"/>
                <w:lang w:val="en-US" w:eastAsia="zh-CN"/>
              </w:rPr>
              <w:t>10KV干式电力变压器</w:t>
            </w:r>
          </w:p>
        </w:tc>
        <w:tc>
          <w:tcPr>
            <w:tcW w:w="712" w:type="pct"/>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b/>
                <w:bCs w:val="0"/>
                <w:sz w:val="21"/>
                <w:szCs w:val="21"/>
                <w:lang w:val="en-US" w:eastAsia="zh-CN"/>
              </w:rPr>
            </w:pPr>
          </w:p>
        </w:tc>
        <w:tc>
          <w:tcPr>
            <w:tcW w:w="523" w:type="pct"/>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b/>
                <w:bCs w:val="0"/>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9" w:type="pct"/>
            <w:vAlign w:val="center"/>
          </w:tcPr>
          <w:p>
            <w:pPr>
              <w:keepNext w:val="0"/>
              <w:keepLines w:val="0"/>
              <w:pageBreakBefore w:val="0"/>
              <w:kinsoku/>
              <w:wordWrap/>
              <w:overflowPunct/>
              <w:topLinePunct w:val="0"/>
              <w:autoSpaceDE/>
              <w:autoSpaceDN/>
              <w:bidi w:val="0"/>
              <w:adjustRightInd/>
              <w:snapToGrid/>
              <w:spacing w:line="240" w:lineRule="auto"/>
              <w:ind w:right="0" w:rightChars="0"/>
              <w:jc w:val="center"/>
              <w:textAlignment w:val="auto"/>
              <w:rPr>
                <w:rFonts w:hint="eastAsia" w:ascii="宋体" w:hAnsi="宋体" w:eastAsia="宋体" w:cs="宋体"/>
                <w:kern w:val="2"/>
                <w:sz w:val="21"/>
                <w:szCs w:val="21"/>
                <w:lang w:val="en-US" w:eastAsia="zh-CN" w:bidi="ar-SA"/>
              </w:rPr>
            </w:pPr>
            <w:r>
              <w:rPr>
                <w:rFonts w:hint="eastAsia" w:ascii="宋体" w:hAnsi="宋体" w:eastAsia="宋体" w:cs="宋体"/>
                <w:sz w:val="21"/>
                <w:szCs w:val="21"/>
                <w:lang w:val="en-US" w:eastAsia="zh-CN"/>
              </w:rPr>
              <w:t>1</w:t>
            </w:r>
          </w:p>
        </w:tc>
        <w:tc>
          <w:tcPr>
            <w:tcW w:w="1228" w:type="pct"/>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kern w:val="2"/>
                <w:sz w:val="21"/>
                <w:szCs w:val="21"/>
                <w:lang w:val="en-US" w:eastAsia="zh-CN" w:bidi="ar-SA"/>
              </w:rPr>
            </w:pPr>
            <w:r>
              <w:rPr>
                <w:rFonts w:hint="eastAsia" w:ascii="宋体" w:hAnsi="宋体" w:eastAsia="宋体" w:cs="宋体"/>
                <w:sz w:val="21"/>
                <w:szCs w:val="21"/>
                <w:lang w:val="en-US" w:eastAsia="zh-CN"/>
              </w:rPr>
              <w:t>10KV干式电力变压器</w:t>
            </w:r>
            <w:r>
              <w:rPr>
                <w:rFonts w:hint="eastAsia" w:ascii="宋体" w:hAnsi="宋体" w:eastAsia="宋体" w:cs="宋体"/>
                <w:spacing w:val="-6"/>
                <w:sz w:val="21"/>
                <w:szCs w:val="21"/>
                <w:lang w:val="en-US" w:eastAsia="zh-CN"/>
              </w:rPr>
              <w:t>（1#800KVA,2#800KVA)</w:t>
            </w:r>
          </w:p>
        </w:tc>
        <w:tc>
          <w:tcPr>
            <w:tcW w:w="1406" w:type="pct"/>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绕组直流电阻;</w:t>
            </w:r>
          </w:p>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绕组绝缘电阻/吸收比或极化;</w:t>
            </w:r>
          </w:p>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交流耐压试验;</w:t>
            </w:r>
          </w:p>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铁芯绝缘电阻;</w:t>
            </w:r>
          </w:p>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kern w:val="2"/>
                <w:sz w:val="21"/>
                <w:szCs w:val="21"/>
                <w:lang w:val="en-US" w:eastAsia="zh-CN" w:bidi="ar-SA"/>
              </w:rPr>
            </w:pPr>
            <w:r>
              <w:rPr>
                <w:rFonts w:hint="eastAsia" w:ascii="宋体" w:hAnsi="宋体" w:eastAsia="宋体" w:cs="宋体"/>
                <w:sz w:val="21"/>
                <w:szCs w:val="21"/>
                <w:lang w:val="en-US" w:eastAsia="zh-CN"/>
              </w:rPr>
              <w:t>绕组分接电压比.</w:t>
            </w:r>
          </w:p>
        </w:tc>
        <w:tc>
          <w:tcPr>
            <w:tcW w:w="880" w:type="pct"/>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依据中华人民共和国电力行业标准DL/T596-1996</w:t>
            </w:r>
          </w:p>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kern w:val="2"/>
                <w:sz w:val="21"/>
                <w:szCs w:val="21"/>
                <w:lang w:val="en-US" w:eastAsia="zh-CN" w:bidi="ar-SA"/>
              </w:rPr>
            </w:pPr>
            <w:r>
              <w:rPr>
                <w:rFonts w:hint="eastAsia" w:ascii="宋体" w:hAnsi="宋体" w:eastAsia="宋体" w:cs="宋体"/>
                <w:sz w:val="21"/>
                <w:szCs w:val="21"/>
                <w:lang w:val="en-US" w:eastAsia="zh-CN"/>
              </w:rPr>
              <w:t>（每1-3年/大修后/必要时）</w:t>
            </w:r>
          </w:p>
        </w:tc>
        <w:tc>
          <w:tcPr>
            <w:tcW w:w="712" w:type="pct"/>
            <w:vAlign w:val="center"/>
          </w:tcPr>
          <w:p>
            <w:pPr>
              <w:keepNext w:val="0"/>
              <w:keepLines w:val="0"/>
              <w:pageBreakBefore w:val="0"/>
              <w:kinsoku/>
              <w:wordWrap/>
              <w:overflowPunct/>
              <w:topLinePunct w:val="0"/>
              <w:autoSpaceDE/>
              <w:autoSpaceDN/>
              <w:bidi w:val="0"/>
              <w:adjustRightInd/>
              <w:snapToGrid/>
              <w:spacing w:line="240" w:lineRule="auto"/>
              <w:ind w:right="0" w:rightChars="0"/>
              <w:jc w:val="both"/>
              <w:textAlignment w:val="auto"/>
              <w:rPr>
                <w:rFonts w:hint="eastAsia" w:ascii="宋体" w:hAnsi="宋体" w:eastAsia="宋体" w:cs="宋体"/>
                <w:sz w:val="21"/>
                <w:szCs w:val="21"/>
                <w:lang w:val="en-US" w:eastAsia="zh-CN"/>
              </w:rPr>
            </w:pPr>
          </w:p>
        </w:tc>
        <w:tc>
          <w:tcPr>
            <w:tcW w:w="523" w:type="pct"/>
            <w:vAlign w:val="center"/>
          </w:tcPr>
          <w:p>
            <w:pPr>
              <w:keepNext w:val="0"/>
              <w:keepLines w:val="0"/>
              <w:pageBreakBefore w:val="0"/>
              <w:kinsoku/>
              <w:wordWrap/>
              <w:overflowPunct/>
              <w:topLinePunct w:val="0"/>
              <w:autoSpaceDE/>
              <w:autoSpaceDN/>
              <w:bidi w:val="0"/>
              <w:adjustRightInd/>
              <w:snapToGrid/>
              <w:spacing w:line="240" w:lineRule="auto"/>
              <w:ind w:right="0" w:rightChars="0"/>
              <w:jc w:val="both"/>
              <w:textAlignment w:val="auto"/>
              <w:rPr>
                <w:rFonts w:hint="eastAsia" w:ascii="宋体" w:hAnsi="宋体" w:eastAsia="宋体" w:cs="宋体"/>
                <w:sz w:val="21"/>
                <w:szCs w:val="21"/>
                <w:lang w:val="en-US" w:eastAsia="zh-CN"/>
              </w:rPr>
            </w:pPr>
          </w:p>
        </w:tc>
      </w:tr>
    </w:tbl>
    <w:p>
      <w:pPr>
        <w:rPr>
          <w:rFonts w:hint="eastAsia"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br w:type="page"/>
      </w:r>
    </w:p>
    <w:p>
      <w:pPr>
        <w:pStyle w:val="2"/>
        <w:bidi w:val="0"/>
        <w:rPr>
          <w:rFonts w:hint="eastAsia" w:ascii="黑体" w:hAnsi="黑体" w:eastAsia="黑体" w:cs="黑体"/>
          <w:b w:val="0"/>
          <w:bCs/>
          <w:sz w:val="32"/>
          <w:szCs w:val="32"/>
          <w:lang w:val="en-US" w:eastAsia="zh-CN"/>
        </w:rPr>
      </w:pPr>
      <w:r>
        <w:rPr>
          <w:rFonts w:hint="eastAsia" w:ascii="黑体" w:hAnsi="黑体" w:eastAsia="黑体" w:cs="黑体"/>
          <w:b w:val="0"/>
          <w:bCs/>
          <w:sz w:val="32"/>
          <w:szCs w:val="32"/>
          <w:lang w:val="en-US" w:eastAsia="zh-CN"/>
        </w:rPr>
        <w:t>高低压配电房设施设备清单表</w:t>
      </w:r>
    </w:p>
    <w:tbl>
      <w:tblPr>
        <w:tblStyle w:val="6"/>
        <w:tblW w:w="885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8"/>
        <w:gridCol w:w="2229"/>
        <w:gridCol w:w="1566"/>
        <w:gridCol w:w="750"/>
        <w:gridCol w:w="1330"/>
        <w:gridCol w:w="1384"/>
        <w:gridCol w:w="70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blHeader/>
          <w:jc w:val="center"/>
        </w:trPr>
        <w:tc>
          <w:tcPr>
            <w:tcW w:w="888"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center"/>
              <w:textAlignment w:val="auto"/>
              <w:rPr>
                <w:rFonts w:hint="eastAsia" w:ascii="黑体" w:hAnsi="黑体" w:eastAsia="黑体" w:cs="黑体"/>
                <w:b/>
                <w:bCs/>
                <w:sz w:val="21"/>
                <w:szCs w:val="21"/>
                <w:lang w:val="en-US" w:eastAsia="zh-CN"/>
              </w:rPr>
            </w:pPr>
            <w:r>
              <w:rPr>
                <w:rFonts w:hint="eastAsia" w:ascii="黑体" w:hAnsi="黑体" w:eastAsia="黑体" w:cs="黑体"/>
                <w:b/>
                <w:bCs/>
                <w:sz w:val="21"/>
                <w:szCs w:val="21"/>
                <w:lang w:val="en-US" w:eastAsia="zh-CN"/>
              </w:rPr>
              <w:t>序号</w:t>
            </w:r>
          </w:p>
        </w:tc>
        <w:tc>
          <w:tcPr>
            <w:tcW w:w="2229"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center"/>
              <w:textAlignment w:val="auto"/>
              <w:rPr>
                <w:rFonts w:hint="eastAsia" w:ascii="黑体" w:hAnsi="黑体" w:eastAsia="黑体" w:cs="黑体"/>
                <w:b/>
                <w:bCs/>
                <w:sz w:val="21"/>
                <w:szCs w:val="21"/>
                <w:lang w:val="en-US" w:eastAsia="zh-CN"/>
              </w:rPr>
            </w:pPr>
            <w:r>
              <w:rPr>
                <w:rFonts w:hint="eastAsia" w:ascii="黑体" w:hAnsi="黑体" w:eastAsia="黑体" w:cs="黑体"/>
                <w:b/>
                <w:bCs/>
                <w:sz w:val="21"/>
                <w:szCs w:val="21"/>
                <w:lang w:val="en-US" w:eastAsia="zh-CN"/>
              </w:rPr>
              <w:t>名称</w:t>
            </w:r>
          </w:p>
        </w:tc>
        <w:tc>
          <w:tcPr>
            <w:tcW w:w="1566"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center"/>
              <w:textAlignment w:val="auto"/>
              <w:rPr>
                <w:rFonts w:hint="eastAsia" w:ascii="黑体" w:hAnsi="黑体" w:eastAsia="黑体" w:cs="黑体"/>
                <w:b/>
                <w:bCs/>
                <w:sz w:val="21"/>
                <w:szCs w:val="21"/>
                <w:lang w:val="en-US" w:eastAsia="zh-CN"/>
              </w:rPr>
            </w:pPr>
            <w:r>
              <w:rPr>
                <w:rFonts w:hint="eastAsia" w:ascii="黑体" w:hAnsi="黑体" w:eastAsia="黑体" w:cs="黑体"/>
                <w:b/>
                <w:bCs/>
                <w:sz w:val="21"/>
                <w:szCs w:val="21"/>
                <w:lang w:val="en-US" w:eastAsia="zh-CN"/>
              </w:rPr>
              <w:t>规格型号</w:t>
            </w:r>
          </w:p>
        </w:tc>
        <w:tc>
          <w:tcPr>
            <w:tcW w:w="750"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center"/>
              <w:textAlignment w:val="auto"/>
              <w:rPr>
                <w:rFonts w:hint="eastAsia" w:ascii="黑体" w:hAnsi="黑体" w:eastAsia="黑体" w:cs="黑体"/>
                <w:b/>
                <w:bCs/>
                <w:sz w:val="21"/>
                <w:szCs w:val="21"/>
                <w:lang w:val="en-US" w:eastAsia="zh-CN"/>
              </w:rPr>
            </w:pPr>
            <w:r>
              <w:rPr>
                <w:rFonts w:hint="eastAsia" w:ascii="黑体" w:hAnsi="黑体" w:eastAsia="黑体" w:cs="黑体"/>
                <w:b/>
                <w:bCs/>
                <w:sz w:val="21"/>
                <w:szCs w:val="21"/>
                <w:lang w:val="en-US" w:eastAsia="zh-CN"/>
              </w:rPr>
              <w:t>数量</w:t>
            </w:r>
          </w:p>
        </w:tc>
        <w:tc>
          <w:tcPr>
            <w:tcW w:w="1330"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center"/>
              <w:textAlignment w:val="auto"/>
              <w:rPr>
                <w:rFonts w:hint="eastAsia" w:ascii="黑体" w:hAnsi="黑体" w:eastAsia="黑体" w:cs="黑体"/>
                <w:b/>
                <w:bCs/>
                <w:sz w:val="21"/>
                <w:szCs w:val="21"/>
                <w:lang w:val="en-US" w:eastAsia="zh-CN"/>
              </w:rPr>
            </w:pPr>
            <w:r>
              <w:rPr>
                <w:rFonts w:hint="eastAsia" w:ascii="黑体" w:hAnsi="黑体" w:eastAsia="黑体" w:cs="黑体"/>
                <w:b/>
                <w:bCs/>
                <w:sz w:val="21"/>
                <w:szCs w:val="21"/>
                <w:lang w:val="en-US" w:eastAsia="zh-CN"/>
              </w:rPr>
              <w:t>生产时间</w:t>
            </w:r>
          </w:p>
        </w:tc>
        <w:tc>
          <w:tcPr>
            <w:tcW w:w="1384"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center"/>
              <w:textAlignment w:val="auto"/>
              <w:rPr>
                <w:rFonts w:hint="eastAsia" w:ascii="黑体" w:hAnsi="黑体" w:eastAsia="黑体" w:cs="黑体"/>
                <w:b/>
                <w:bCs/>
                <w:sz w:val="21"/>
                <w:szCs w:val="21"/>
                <w:lang w:val="en-US" w:eastAsia="zh-CN"/>
              </w:rPr>
            </w:pPr>
            <w:r>
              <w:rPr>
                <w:rFonts w:hint="eastAsia" w:ascii="黑体" w:hAnsi="黑体" w:eastAsia="黑体" w:cs="黑体"/>
                <w:b/>
                <w:bCs/>
                <w:sz w:val="21"/>
                <w:szCs w:val="21"/>
                <w:lang w:val="en-US" w:eastAsia="zh-CN"/>
              </w:rPr>
              <w:t>使用时间</w:t>
            </w:r>
          </w:p>
        </w:tc>
        <w:tc>
          <w:tcPr>
            <w:tcW w:w="703"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center"/>
              <w:textAlignment w:val="auto"/>
              <w:rPr>
                <w:rFonts w:hint="eastAsia" w:ascii="黑体" w:hAnsi="黑体" w:eastAsia="黑体" w:cs="黑体"/>
                <w:b/>
                <w:bCs/>
                <w:sz w:val="21"/>
                <w:szCs w:val="21"/>
                <w:lang w:val="en-US" w:eastAsia="zh-CN"/>
              </w:rPr>
            </w:pPr>
            <w:r>
              <w:rPr>
                <w:rFonts w:hint="eastAsia" w:ascii="黑体" w:hAnsi="黑体" w:eastAsia="黑体" w:cs="黑体"/>
                <w:b/>
                <w:bCs/>
                <w:sz w:val="21"/>
                <w:szCs w:val="21"/>
                <w:lang w:val="en-US"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88"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center"/>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w:t>
            </w:r>
          </w:p>
        </w:tc>
        <w:tc>
          <w:tcPr>
            <w:tcW w:w="2229"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G1高压进线柜</w:t>
            </w:r>
          </w:p>
        </w:tc>
        <w:tc>
          <w:tcPr>
            <w:tcW w:w="1566" w:type="dxa"/>
            <w:vMerge w:val="restart"/>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XGN15-12</w:t>
            </w:r>
          </w:p>
        </w:tc>
        <w:tc>
          <w:tcPr>
            <w:tcW w:w="750" w:type="dxa"/>
            <w:vMerge w:val="restart"/>
            <w:vAlign w:val="center"/>
          </w:tcPr>
          <w:p>
            <w:pPr>
              <w:keepNext w:val="0"/>
              <w:keepLines w:val="0"/>
              <w:pageBreakBefore w:val="0"/>
              <w:kinsoku/>
              <w:wordWrap/>
              <w:overflowPunct/>
              <w:topLinePunct w:val="0"/>
              <w:autoSpaceDE/>
              <w:autoSpaceDN/>
              <w:bidi w:val="0"/>
              <w:adjustRightInd/>
              <w:snapToGrid/>
              <w:spacing w:line="240" w:lineRule="auto"/>
              <w:ind w:right="0" w:rightChars="0"/>
              <w:jc w:val="center"/>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w:t>
            </w:r>
          </w:p>
        </w:tc>
        <w:tc>
          <w:tcPr>
            <w:tcW w:w="1330" w:type="dxa"/>
            <w:vMerge w:val="restart"/>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2010.12</w:t>
            </w:r>
          </w:p>
        </w:tc>
        <w:tc>
          <w:tcPr>
            <w:tcW w:w="1384" w:type="dxa"/>
            <w:vMerge w:val="restart"/>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default" w:ascii="宋体" w:hAnsi="宋体" w:eastAsia="宋体" w:cs="宋体"/>
                <w:sz w:val="21"/>
                <w:szCs w:val="21"/>
                <w:lang w:val="en-US" w:eastAsia="zh-CN"/>
              </w:rPr>
            </w:pPr>
            <w:r>
              <w:rPr>
                <w:rFonts w:hint="eastAsia" w:ascii="宋体" w:hAnsi="宋体" w:eastAsia="宋体" w:cs="宋体"/>
                <w:sz w:val="21"/>
                <w:szCs w:val="21"/>
                <w:lang w:val="en-US" w:eastAsia="zh-CN"/>
              </w:rPr>
              <w:t>至今（即2022.05.20）</w:t>
            </w:r>
          </w:p>
        </w:tc>
        <w:tc>
          <w:tcPr>
            <w:tcW w:w="703" w:type="dxa"/>
            <w:vMerge w:val="restart"/>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88"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center"/>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w:t>
            </w:r>
          </w:p>
        </w:tc>
        <w:tc>
          <w:tcPr>
            <w:tcW w:w="2229"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G2计量柜</w:t>
            </w:r>
          </w:p>
        </w:tc>
        <w:tc>
          <w:tcPr>
            <w:tcW w:w="1566" w:type="dxa"/>
            <w:vMerge w:val="continue"/>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c>
          <w:tcPr>
            <w:tcW w:w="750" w:type="dxa"/>
            <w:vMerge w:val="continue"/>
            <w:vAlign w:val="center"/>
          </w:tcPr>
          <w:p>
            <w:pPr>
              <w:keepNext w:val="0"/>
              <w:keepLines w:val="0"/>
              <w:pageBreakBefore w:val="0"/>
              <w:kinsoku/>
              <w:wordWrap/>
              <w:overflowPunct/>
              <w:topLinePunct w:val="0"/>
              <w:autoSpaceDE/>
              <w:autoSpaceDN/>
              <w:bidi w:val="0"/>
              <w:adjustRightInd/>
              <w:snapToGrid/>
              <w:spacing w:line="240" w:lineRule="auto"/>
              <w:ind w:right="0" w:rightChars="0"/>
              <w:jc w:val="center"/>
              <w:textAlignment w:val="auto"/>
              <w:rPr>
                <w:rFonts w:hint="eastAsia" w:ascii="宋体" w:hAnsi="宋体" w:eastAsia="宋体" w:cs="宋体"/>
                <w:sz w:val="21"/>
                <w:szCs w:val="21"/>
                <w:lang w:val="en-US" w:eastAsia="zh-CN"/>
              </w:rPr>
            </w:pPr>
          </w:p>
        </w:tc>
        <w:tc>
          <w:tcPr>
            <w:tcW w:w="1330" w:type="dxa"/>
            <w:vMerge w:val="continue"/>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c>
          <w:tcPr>
            <w:tcW w:w="1384" w:type="dxa"/>
            <w:vMerge w:val="continue"/>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c>
          <w:tcPr>
            <w:tcW w:w="703" w:type="dxa"/>
            <w:vMerge w:val="continue"/>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88"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center"/>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3</w:t>
            </w:r>
          </w:p>
        </w:tc>
        <w:tc>
          <w:tcPr>
            <w:tcW w:w="2229"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G3PT柜</w:t>
            </w:r>
          </w:p>
        </w:tc>
        <w:tc>
          <w:tcPr>
            <w:tcW w:w="1566" w:type="dxa"/>
            <w:vMerge w:val="continue"/>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c>
          <w:tcPr>
            <w:tcW w:w="750" w:type="dxa"/>
            <w:vMerge w:val="continue"/>
            <w:vAlign w:val="center"/>
          </w:tcPr>
          <w:p>
            <w:pPr>
              <w:keepNext w:val="0"/>
              <w:keepLines w:val="0"/>
              <w:pageBreakBefore w:val="0"/>
              <w:kinsoku/>
              <w:wordWrap/>
              <w:overflowPunct/>
              <w:topLinePunct w:val="0"/>
              <w:autoSpaceDE/>
              <w:autoSpaceDN/>
              <w:bidi w:val="0"/>
              <w:adjustRightInd/>
              <w:snapToGrid/>
              <w:spacing w:line="240" w:lineRule="auto"/>
              <w:ind w:right="0" w:rightChars="0"/>
              <w:jc w:val="center"/>
              <w:textAlignment w:val="auto"/>
              <w:rPr>
                <w:rFonts w:hint="eastAsia" w:ascii="宋体" w:hAnsi="宋体" w:eastAsia="宋体" w:cs="宋体"/>
                <w:sz w:val="21"/>
                <w:szCs w:val="21"/>
                <w:lang w:val="en-US" w:eastAsia="zh-CN"/>
              </w:rPr>
            </w:pPr>
          </w:p>
        </w:tc>
        <w:tc>
          <w:tcPr>
            <w:tcW w:w="1330" w:type="dxa"/>
            <w:vMerge w:val="continue"/>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c>
          <w:tcPr>
            <w:tcW w:w="1384" w:type="dxa"/>
            <w:vMerge w:val="continue"/>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c>
          <w:tcPr>
            <w:tcW w:w="703" w:type="dxa"/>
            <w:vMerge w:val="continue"/>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88"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center"/>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4</w:t>
            </w:r>
          </w:p>
        </w:tc>
        <w:tc>
          <w:tcPr>
            <w:tcW w:w="2229"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G4出线柜</w:t>
            </w:r>
          </w:p>
        </w:tc>
        <w:tc>
          <w:tcPr>
            <w:tcW w:w="1566" w:type="dxa"/>
            <w:vMerge w:val="continue"/>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c>
          <w:tcPr>
            <w:tcW w:w="750" w:type="dxa"/>
            <w:vMerge w:val="continue"/>
            <w:vAlign w:val="center"/>
          </w:tcPr>
          <w:p>
            <w:pPr>
              <w:keepNext w:val="0"/>
              <w:keepLines w:val="0"/>
              <w:pageBreakBefore w:val="0"/>
              <w:kinsoku/>
              <w:wordWrap/>
              <w:overflowPunct/>
              <w:topLinePunct w:val="0"/>
              <w:autoSpaceDE/>
              <w:autoSpaceDN/>
              <w:bidi w:val="0"/>
              <w:adjustRightInd/>
              <w:snapToGrid/>
              <w:spacing w:line="240" w:lineRule="auto"/>
              <w:ind w:right="0" w:rightChars="0"/>
              <w:jc w:val="center"/>
              <w:textAlignment w:val="auto"/>
              <w:rPr>
                <w:rFonts w:hint="eastAsia" w:ascii="宋体" w:hAnsi="宋体" w:eastAsia="宋体" w:cs="宋体"/>
                <w:sz w:val="21"/>
                <w:szCs w:val="21"/>
                <w:lang w:val="en-US" w:eastAsia="zh-CN"/>
              </w:rPr>
            </w:pPr>
          </w:p>
        </w:tc>
        <w:tc>
          <w:tcPr>
            <w:tcW w:w="1330" w:type="dxa"/>
            <w:vMerge w:val="continue"/>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c>
          <w:tcPr>
            <w:tcW w:w="1384" w:type="dxa"/>
            <w:vMerge w:val="continue"/>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c>
          <w:tcPr>
            <w:tcW w:w="703" w:type="dxa"/>
            <w:vMerge w:val="continue"/>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88"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center"/>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5</w:t>
            </w:r>
          </w:p>
        </w:tc>
        <w:tc>
          <w:tcPr>
            <w:tcW w:w="2229"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G5联络柜</w:t>
            </w:r>
          </w:p>
        </w:tc>
        <w:tc>
          <w:tcPr>
            <w:tcW w:w="1566" w:type="dxa"/>
            <w:vMerge w:val="continue"/>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c>
          <w:tcPr>
            <w:tcW w:w="750" w:type="dxa"/>
            <w:vMerge w:val="continue"/>
            <w:vAlign w:val="center"/>
          </w:tcPr>
          <w:p>
            <w:pPr>
              <w:keepNext w:val="0"/>
              <w:keepLines w:val="0"/>
              <w:pageBreakBefore w:val="0"/>
              <w:kinsoku/>
              <w:wordWrap/>
              <w:overflowPunct/>
              <w:topLinePunct w:val="0"/>
              <w:autoSpaceDE/>
              <w:autoSpaceDN/>
              <w:bidi w:val="0"/>
              <w:adjustRightInd/>
              <w:snapToGrid/>
              <w:spacing w:line="240" w:lineRule="auto"/>
              <w:ind w:right="0" w:rightChars="0"/>
              <w:jc w:val="center"/>
              <w:textAlignment w:val="auto"/>
              <w:rPr>
                <w:rFonts w:hint="eastAsia" w:ascii="宋体" w:hAnsi="宋体" w:eastAsia="宋体" w:cs="宋体"/>
                <w:sz w:val="21"/>
                <w:szCs w:val="21"/>
                <w:lang w:val="en-US" w:eastAsia="zh-CN"/>
              </w:rPr>
            </w:pPr>
          </w:p>
        </w:tc>
        <w:tc>
          <w:tcPr>
            <w:tcW w:w="1330" w:type="dxa"/>
            <w:vMerge w:val="continue"/>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c>
          <w:tcPr>
            <w:tcW w:w="1384" w:type="dxa"/>
            <w:vMerge w:val="continue"/>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c>
          <w:tcPr>
            <w:tcW w:w="703" w:type="dxa"/>
            <w:vMerge w:val="continue"/>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88"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center"/>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6</w:t>
            </w:r>
          </w:p>
        </w:tc>
        <w:tc>
          <w:tcPr>
            <w:tcW w:w="2229"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G6提升柜</w:t>
            </w:r>
          </w:p>
        </w:tc>
        <w:tc>
          <w:tcPr>
            <w:tcW w:w="1566" w:type="dxa"/>
            <w:vMerge w:val="continue"/>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c>
          <w:tcPr>
            <w:tcW w:w="750" w:type="dxa"/>
            <w:vMerge w:val="continue"/>
            <w:vAlign w:val="center"/>
          </w:tcPr>
          <w:p>
            <w:pPr>
              <w:keepNext w:val="0"/>
              <w:keepLines w:val="0"/>
              <w:pageBreakBefore w:val="0"/>
              <w:kinsoku/>
              <w:wordWrap/>
              <w:overflowPunct/>
              <w:topLinePunct w:val="0"/>
              <w:autoSpaceDE/>
              <w:autoSpaceDN/>
              <w:bidi w:val="0"/>
              <w:adjustRightInd/>
              <w:snapToGrid/>
              <w:spacing w:line="240" w:lineRule="auto"/>
              <w:ind w:right="0" w:rightChars="0"/>
              <w:jc w:val="center"/>
              <w:textAlignment w:val="auto"/>
              <w:rPr>
                <w:rFonts w:hint="eastAsia" w:ascii="宋体" w:hAnsi="宋体" w:eastAsia="宋体" w:cs="宋体"/>
                <w:sz w:val="21"/>
                <w:szCs w:val="21"/>
                <w:lang w:val="en-US" w:eastAsia="zh-CN"/>
              </w:rPr>
            </w:pPr>
          </w:p>
        </w:tc>
        <w:tc>
          <w:tcPr>
            <w:tcW w:w="1330" w:type="dxa"/>
            <w:vMerge w:val="continue"/>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c>
          <w:tcPr>
            <w:tcW w:w="1384" w:type="dxa"/>
            <w:vMerge w:val="continue"/>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c>
          <w:tcPr>
            <w:tcW w:w="703" w:type="dxa"/>
            <w:vMerge w:val="continue"/>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88"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center"/>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7</w:t>
            </w:r>
          </w:p>
        </w:tc>
        <w:tc>
          <w:tcPr>
            <w:tcW w:w="2229"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G7出线柜</w:t>
            </w:r>
          </w:p>
        </w:tc>
        <w:tc>
          <w:tcPr>
            <w:tcW w:w="1566" w:type="dxa"/>
            <w:vMerge w:val="continue"/>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c>
          <w:tcPr>
            <w:tcW w:w="750" w:type="dxa"/>
            <w:vMerge w:val="continue"/>
            <w:vAlign w:val="center"/>
          </w:tcPr>
          <w:p>
            <w:pPr>
              <w:keepNext w:val="0"/>
              <w:keepLines w:val="0"/>
              <w:pageBreakBefore w:val="0"/>
              <w:kinsoku/>
              <w:wordWrap/>
              <w:overflowPunct/>
              <w:topLinePunct w:val="0"/>
              <w:autoSpaceDE/>
              <w:autoSpaceDN/>
              <w:bidi w:val="0"/>
              <w:adjustRightInd/>
              <w:snapToGrid/>
              <w:spacing w:line="240" w:lineRule="auto"/>
              <w:ind w:right="0" w:rightChars="0"/>
              <w:jc w:val="center"/>
              <w:textAlignment w:val="auto"/>
              <w:rPr>
                <w:rFonts w:hint="eastAsia" w:ascii="宋体" w:hAnsi="宋体" w:eastAsia="宋体" w:cs="宋体"/>
                <w:sz w:val="21"/>
                <w:szCs w:val="21"/>
                <w:lang w:val="en-US" w:eastAsia="zh-CN"/>
              </w:rPr>
            </w:pPr>
          </w:p>
        </w:tc>
        <w:tc>
          <w:tcPr>
            <w:tcW w:w="1330" w:type="dxa"/>
            <w:vMerge w:val="continue"/>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c>
          <w:tcPr>
            <w:tcW w:w="1384" w:type="dxa"/>
            <w:vMerge w:val="continue"/>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c>
          <w:tcPr>
            <w:tcW w:w="703" w:type="dxa"/>
            <w:vMerge w:val="continue"/>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88"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center"/>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8</w:t>
            </w:r>
          </w:p>
        </w:tc>
        <w:tc>
          <w:tcPr>
            <w:tcW w:w="2229"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G8PT柜</w:t>
            </w:r>
          </w:p>
        </w:tc>
        <w:tc>
          <w:tcPr>
            <w:tcW w:w="1566" w:type="dxa"/>
            <w:vMerge w:val="continue"/>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c>
          <w:tcPr>
            <w:tcW w:w="750" w:type="dxa"/>
            <w:vMerge w:val="continue"/>
            <w:vAlign w:val="center"/>
          </w:tcPr>
          <w:p>
            <w:pPr>
              <w:keepNext w:val="0"/>
              <w:keepLines w:val="0"/>
              <w:pageBreakBefore w:val="0"/>
              <w:kinsoku/>
              <w:wordWrap/>
              <w:overflowPunct/>
              <w:topLinePunct w:val="0"/>
              <w:autoSpaceDE/>
              <w:autoSpaceDN/>
              <w:bidi w:val="0"/>
              <w:adjustRightInd/>
              <w:snapToGrid/>
              <w:spacing w:line="240" w:lineRule="auto"/>
              <w:ind w:right="0" w:rightChars="0"/>
              <w:jc w:val="center"/>
              <w:textAlignment w:val="auto"/>
              <w:rPr>
                <w:rFonts w:hint="eastAsia" w:ascii="宋体" w:hAnsi="宋体" w:eastAsia="宋体" w:cs="宋体"/>
                <w:sz w:val="21"/>
                <w:szCs w:val="21"/>
                <w:lang w:val="en-US" w:eastAsia="zh-CN"/>
              </w:rPr>
            </w:pPr>
          </w:p>
        </w:tc>
        <w:tc>
          <w:tcPr>
            <w:tcW w:w="1330" w:type="dxa"/>
            <w:vMerge w:val="continue"/>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c>
          <w:tcPr>
            <w:tcW w:w="1384" w:type="dxa"/>
            <w:vMerge w:val="continue"/>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c>
          <w:tcPr>
            <w:tcW w:w="703" w:type="dxa"/>
            <w:vMerge w:val="continue"/>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88"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center"/>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9</w:t>
            </w:r>
          </w:p>
        </w:tc>
        <w:tc>
          <w:tcPr>
            <w:tcW w:w="2229"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G9计量柜</w:t>
            </w:r>
          </w:p>
        </w:tc>
        <w:tc>
          <w:tcPr>
            <w:tcW w:w="1566" w:type="dxa"/>
            <w:vMerge w:val="continue"/>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c>
          <w:tcPr>
            <w:tcW w:w="750" w:type="dxa"/>
            <w:vMerge w:val="continue"/>
            <w:vAlign w:val="center"/>
          </w:tcPr>
          <w:p>
            <w:pPr>
              <w:keepNext w:val="0"/>
              <w:keepLines w:val="0"/>
              <w:pageBreakBefore w:val="0"/>
              <w:kinsoku/>
              <w:wordWrap/>
              <w:overflowPunct/>
              <w:topLinePunct w:val="0"/>
              <w:autoSpaceDE/>
              <w:autoSpaceDN/>
              <w:bidi w:val="0"/>
              <w:adjustRightInd/>
              <w:snapToGrid/>
              <w:spacing w:line="240" w:lineRule="auto"/>
              <w:ind w:right="0" w:rightChars="0"/>
              <w:jc w:val="center"/>
              <w:textAlignment w:val="auto"/>
              <w:rPr>
                <w:rFonts w:hint="eastAsia" w:ascii="宋体" w:hAnsi="宋体" w:eastAsia="宋体" w:cs="宋体"/>
                <w:sz w:val="21"/>
                <w:szCs w:val="21"/>
                <w:lang w:val="en-US" w:eastAsia="zh-CN"/>
              </w:rPr>
            </w:pPr>
          </w:p>
        </w:tc>
        <w:tc>
          <w:tcPr>
            <w:tcW w:w="1330" w:type="dxa"/>
            <w:vMerge w:val="continue"/>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c>
          <w:tcPr>
            <w:tcW w:w="1384" w:type="dxa"/>
            <w:vMerge w:val="continue"/>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c>
          <w:tcPr>
            <w:tcW w:w="703" w:type="dxa"/>
            <w:vMerge w:val="continue"/>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88"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center"/>
              <w:textAlignment w:val="auto"/>
              <w:rPr>
                <w:rFonts w:hint="default" w:ascii="宋体" w:hAnsi="宋体" w:eastAsia="宋体" w:cs="宋体"/>
                <w:sz w:val="21"/>
                <w:szCs w:val="21"/>
                <w:lang w:val="en-US" w:eastAsia="zh-CN"/>
              </w:rPr>
            </w:pPr>
            <w:r>
              <w:rPr>
                <w:rFonts w:hint="eastAsia" w:ascii="宋体" w:hAnsi="宋体" w:eastAsia="宋体" w:cs="宋体"/>
                <w:sz w:val="21"/>
                <w:szCs w:val="21"/>
                <w:lang w:val="en-US" w:eastAsia="zh-CN"/>
              </w:rPr>
              <w:t>10</w:t>
            </w:r>
          </w:p>
        </w:tc>
        <w:tc>
          <w:tcPr>
            <w:tcW w:w="2229"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G10高压进线柜</w:t>
            </w:r>
          </w:p>
        </w:tc>
        <w:tc>
          <w:tcPr>
            <w:tcW w:w="1566" w:type="dxa"/>
            <w:vMerge w:val="continue"/>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c>
          <w:tcPr>
            <w:tcW w:w="750" w:type="dxa"/>
            <w:vMerge w:val="continue"/>
            <w:vAlign w:val="center"/>
          </w:tcPr>
          <w:p>
            <w:pPr>
              <w:keepNext w:val="0"/>
              <w:keepLines w:val="0"/>
              <w:pageBreakBefore w:val="0"/>
              <w:kinsoku/>
              <w:wordWrap/>
              <w:overflowPunct/>
              <w:topLinePunct w:val="0"/>
              <w:autoSpaceDE/>
              <w:autoSpaceDN/>
              <w:bidi w:val="0"/>
              <w:adjustRightInd/>
              <w:snapToGrid/>
              <w:spacing w:line="240" w:lineRule="auto"/>
              <w:ind w:right="0" w:rightChars="0"/>
              <w:jc w:val="center"/>
              <w:textAlignment w:val="auto"/>
              <w:rPr>
                <w:rFonts w:hint="eastAsia" w:ascii="宋体" w:hAnsi="宋体" w:eastAsia="宋体" w:cs="宋体"/>
                <w:sz w:val="21"/>
                <w:szCs w:val="21"/>
                <w:lang w:val="en-US" w:eastAsia="zh-CN"/>
              </w:rPr>
            </w:pPr>
          </w:p>
        </w:tc>
        <w:tc>
          <w:tcPr>
            <w:tcW w:w="1330"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2015.09</w:t>
            </w:r>
          </w:p>
        </w:tc>
        <w:tc>
          <w:tcPr>
            <w:tcW w:w="1384" w:type="dxa"/>
            <w:vMerge w:val="continue"/>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c>
          <w:tcPr>
            <w:tcW w:w="703" w:type="dxa"/>
            <w:vMerge w:val="continue"/>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88"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center"/>
              <w:textAlignment w:val="auto"/>
              <w:rPr>
                <w:rFonts w:hint="default" w:ascii="宋体" w:hAnsi="宋体" w:eastAsia="宋体" w:cs="宋体"/>
                <w:sz w:val="21"/>
                <w:szCs w:val="21"/>
                <w:lang w:val="en-US" w:eastAsia="zh-CN"/>
              </w:rPr>
            </w:pPr>
            <w:r>
              <w:rPr>
                <w:rFonts w:hint="eastAsia" w:ascii="宋体" w:hAnsi="宋体" w:eastAsia="宋体" w:cs="宋体"/>
                <w:sz w:val="21"/>
                <w:szCs w:val="21"/>
                <w:lang w:val="en-US" w:eastAsia="zh-CN"/>
              </w:rPr>
              <w:t>11</w:t>
            </w:r>
          </w:p>
        </w:tc>
        <w:tc>
          <w:tcPr>
            <w:tcW w:w="2229"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1#800KVA干式电力变压器</w:t>
            </w:r>
          </w:p>
        </w:tc>
        <w:tc>
          <w:tcPr>
            <w:tcW w:w="1566"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SCB10-800/10</w:t>
            </w:r>
          </w:p>
        </w:tc>
        <w:tc>
          <w:tcPr>
            <w:tcW w:w="750"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center"/>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w:t>
            </w:r>
          </w:p>
        </w:tc>
        <w:tc>
          <w:tcPr>
            <w:tcW w:w="1330"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2013.03</w:t>
            </w:r>
          </w:p>
        </w:tc>
        <w:tc>
          <w:tcPr>
            <w:tcW w:w="1384"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至今（即2022.05.20）</w:t>
            </w:r>
          </w:p>
        </w:tc>
        <w:tc>
          <w:tcPr>
            <w:tcW w:w="703"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88"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center"/>
              <w:textAlignment w:val="auto"/>
              <w:rPr>
                <w:rFonts w:hint="default" w:ascii="宋体" w:hAnsi="宋体" w:eastAsia="宋体" w:cs="宋体"/>
                <w:sz w:val="21"/>
                <w:szCs w:val="21"/>
                <w:lang w:val="en-US" w:eastAsia="zh-CN"/>
              </w:rPr>
            </w:pPr>
            <w:r>
              <w:rPr>
                <w:rFonts w:hint="eastAsia" w:ascii="宋体" w:hAnsi="宋体" w:eastAsia="宋体" w:cs="宋体"/>
                <w:sz w:val="21"/>
                <w:szCs w:val="21"/>
                <w:lang w:val="en-US" w:eastAsia="zh-CN"/>
              </w:rPr>
              <w:t>12</w:t>
            </w:r>
          </w:p>
        </w:tc>
        <w:tc>
          <w:tcPr>
            <w:tcW w:w="2229"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2#800KVA干式电力变压器</w:t>
            </w:r>
          </w:p>
        </w:tc>
        <w:tc>
          <w:tcPr>
            <w:tcW w:w="1566"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SCB10-800/10</w:t>
            </w:r>
          </w:p>
        </w:tc>
        <w:tc>
          <w:tcPr>
            <w:tcW w:w="750"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center"/>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w:t>
            </w:r>
          </w:p>
        </w:tc>
        <w:tc>
          <w:tcPr>
            <w:tcW w:w="1330"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2013.03</w:t>
            </w:r>
          </w:p>
        </w:tc>
        <w:tc>
          <w:tcPr>
            <w:tcW w:w="1384"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至今（即2022.05.20）</w:t>
            </w:r>
          </w:p>
        </w:tc>
        <w:tc>
          <w:tcPr>
            <w:tcW w:w="703"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88"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center"/>
              <w:textAlignment w:val="auto"/>
              <w:rPr>
                <w:rFonts w:hint="default" w:ascii="宋体" w:hAnsi="宋体" w:eastAsia="宋体" w:cs="宋体"/>
                <w:sz w:val="21"/>
                <w:szCs w:val="21"/>
                <w:lang w:val="en-US" w:eastAsia="zh-CN"/>
              </w:rPr>
            </w:pPr>
            <w:r>
              <w:rPr>
                <w:rFonts w:hint="eastAsia" w:ascii="宋体" w:hAnsi="宋体" w:eastAsia="宋体" w:cs="宋体"/>
                <w:sz w:val="21"/>
                <w:szCs w:val="21"/>
                <w:lang w:val="en-US" w:eastAsia="zh-CN"/>
              </w:rPr>
              <w:t>13</w:t>
            </w:r>
          </w:p>
        </w:tc>
        <w:tc>
          <w:tcPr>
            <w:tcW w:w="2229"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D01主供进线柜</w:t>
            </w:r>
          </w:p>
        </w:tc>
        <w:tc>
          <w:tcPr>
            <w:tcW w:w="1566"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GGD</w:t>
            </w:r>
          </w:p>
        </w:tc>
        <w:tc>
          <w:tcPr>
            <w:tcW w:w="750"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center"/>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w:t>
            </w:r>
          </w:p>
        </w:tc>
        <w:tc>
          <w:tcPr>
            <w:tcW w:w="1330"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2010.10</w:t>
            </w:r>
          </w:p>
        </w:tc>
        <w:tc>
          <w:tcPr>
            <w:tcW w:w="1384"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至今（即2022.05.20</w:t>
            </w:r>
          </w:p>
        </w:tc>
        <w:tc>
          <w:tcPr>
            <w:tcW w:w="703"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88"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center"/>
              <w:textAlignment w:val="auto"/>
              <w:rPr>
                <w:rFonts w:hint="default" w:ascii="宋体" w:hAnsi="宋体" w:eastAsia="宋体" w:cs="宋体"/>
                <w:sz w:val="21"/>
                <w:szCs w:val="21"/>
                <w:lang w:val="en-US" w:eastAsia="zh-CN"/>
              </w:rPr>
            </w:pPr>
            <w:r>
              <w:rPr>
                <w:rFonts w:hint="eastAsia" w:ascii="宋体" w:hAnsi="宋体" w:eastAsia="宋体" w:cs="宋体"/>
                <w:sz w:val="21"/>
                <w:szCs w:val="21"/>
                <w:lang w:val="en-US" w:eastAsia="zh-CN"/>
              </w:rPr>
              <w:t>14</w:t>
            </w:r>
          </w:p>
        </w:tc>
        <w:tc>
          <w:tcPr>
            <w:tcW w:w="2229"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D02电容补偿柜</w:t>
            </w:r>
          </w:p>
        </w:tc>
        <w:tc>
          <w:tcPr>
            <w:tcW w:w="1566"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SLWB-C</w:t>
            </w:r>
          </w:p>
        </w:tc>
        <w:tc>
          <w:tcPr>
            <w:tcW w:w="750"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center"/>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w:t>
            </w:r>
          </w:p>
        </w:tc>
        <w:tc>
          <w:tcPr>
            <w:tcW w:w="1330"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2010.10</w:t>
            </w:r>
          </w:p>
        </w:tc>
        <w:tc>
          <w:tcPr>
            <w:tcW w:w="1384"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至今（即2022.05.20</w:t>
            </w:r>
          </w:p>
        </w:tc>
        <w:tc>
          <w:tcPr>
            <w:tcW w:w="703"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88"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center"/>
              <w:textAlignment w:val="auto"/>
              <w:rPr>
                <w:rFonts w:hint="default" w:ascii="宋体" w:hAnsi="宋体" w:eastAsia="宋体" w:cs="宋体"/>
                <w:sz w:val="21"/>
                <w:szCs w:val="21"/>
                <w:lang w:val="en-US" w:eastAsia="zh-CN"/>
              </w:rPr>
            </w:pPr>
            <w:r>
              <w:rPr>
                <w:rFonts w:hint="eastAsia" w:ascii="宋体" w:hAnsi="宋体" w:eastAsia="宋体" w:cs="宋体"/>
                <w:sz w:val="21"/>
                <w:szCs w:val="21"/>
                <w:lang w:val="en-US" w:eastAsia="zh-CN"/>
              </w:rPr>
              <w:t>15</w:t>
            </w:r>
          </w:p>
        </w:tc>
        <w:tc>
          <w:tcPr>
            <w:tcW w:w="2229"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D03低压出线柜</w:t>
            </w:r>
          </w:p>
        </w:tc>
        <w:tc>
          <w:tcPr>
            <w:tcW w:w="1566"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GGD</w:t>
            </w:r>
          </w:p>
        </w:tc>
        <w:tc>
          <w:tcPr>
            <w:tcW w:w="750"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center"/>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w:t>
            </w:r>
          </w:p>
        </w:tc>
        <w:tc>
          <w:tcPr>
            <w:tcW w:w="1330"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default" w:ascii="宋体" w:hAnsi="宋体" w:eastAsia="宋体" w:cs="宋体"/>
                <w:sz w:val="21"/>
                <w:szCs w:val="21"/>
                <w:lang w:val="en-US" w:eastAsia="zh-CN"/>
              </w:rPr>
            </w:pPr>
            <w:r>
              <w:rPr>
                <w:rFonts w:hint="eastAsia" w:ascii="宋体" w:hAnsi="宋体" w:eastAsia="宋体" w:cs="宋体"/>
                <w:sz w:val="21"/>
                <w:szCs w:val="21"/>
                <w:lang w:val="en-US" w:eastAsia="zh-CN"/>
              </w:rPr>
              <w:t>2010.12</w:t>
            </w:r>
          </w:p>
        </w:tc>
        <w:tc>
          <w:tcPr>
            <w:tcW w:w="1384"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至今（即2022.05.20</w:t>
            </w:r>
          </w:p>
        </w:tc>
        <w:tc>
          <w:tcPr>
            <w:tcW w:w="703"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88"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center"/>
              <w:textAlignment w:val="auto"/>
              <w:rPr>
                <w:rFonts w:hint="default" w:ascii="宋体" w:hAnsi="宋体" w:eastAsia="宋体" w:cs="宋体"/>
                <w:sz w:val="21"/>
                <w:szCs w:val="21"/>
                <w:lang w:val="en-US" w:eastAsia="zh-CN"/>
              </w:rPr>
            </w:pPr>
            <w:r>
              <w:rPr>
                <w:rFonts w:hint="eastAsia" w:ascii="宋体" w:hAnsi="宋体" w:eastAsia="宋体" w:cs="宋体"/>
                <w:sz w:val="21"/>
                <w:szCs w:val="21"/>
                <w:lang w:val="en-US" w:eastAsia="zh-CN"/>
              </w:rPr>
              <w:t>16</w:t>
            </w:r>
          </w:p>
        </w:tc>
        <w:tc>
          <w:tcPr>
            <w:tcW w:w="2229"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D05低压出线柜</w:t>
            </w:r>
          </w:p>
        </w:tc>
        <w:tc>
          <w:tcPr>
            <w:tcW w:w="1566"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GGD</w:t>
            </w:r>
          </w:p>
        </w:tc>
        <w:tc>
          <w:tcPr>
            <w:tcW w:w="750"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center"/>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w:t>
            </w:r>
          </w:p>
        </w:tc>
        <w:tc>
          <w:tcPr>
            <w:tcW w:w="1330"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2010.12</w:t>
            </w:r>
          </w:p>
        </w:tc>
        <w:tc>
          <w:tcPr>
            <w:tcW w:w="1384"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至今（即2022.05.20</w:t>
            </w:r>
          </w:p>
        </w:tc>
        <w:tc>
          <w:tcPr>
            <w:tcW w:w="703"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88"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center"/>
              <w:textAlignment w:val="auto"/>
              <w:rPr>
                <w:rFonts w:hint="default" w:ascii="宋体" w:hAnsi="宋体" w:eastAsia="宋体" w:cs="宋体"/>
                <w:sz w:val="21"/>
                <w:szCs w:val="21"/>
                <w:lang w:val="en-US" w:eastAsia="zh-CN"/>
              </w:rPr>
            </w:pPr>
            <w:r>
              <w:rPr>
                <w:rFonts w:hint="eastAsia" w:ascii="宋体" w:hAnsi="宋体" w:eastAsia="宋体" w:cs="宋体"/>
                <w:sz w:val="21"/>
                <w:szCs w:val="21"/>
                <w:lang w:val="en-US" w:eastAsia="zh-CN"/>
              </w:rPr>
              <w:t>17</w:t>
            </w:r>
          </w:p>
        </w:tc>
        <w:tc>
          <w:tcPr>
            <w:tcW w:w="2229"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D06低压出线柜</w:t>
            </w:r>
          </w:p>
        </w:tc>
        <w:tc>
          <w:tcPr>
            <w:tcW w:w="1566"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GGD</w:t>
            </w:r>
          </w:p>
        </w:tc>
        <w:tc>
          <w:tcPr>
            <w:tcW w:w="750"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center"/>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w:t>
            </w:r>
          </w:p>
        </w:tc>
        <w:tc>
          <w:tcPr>
            <w:tcW w:w="1330"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2010.12</w:t>
            </w:r>
          </w:p>
        </w:tc>
        <w:tc>
          <w:tcPr>
            <w:tcW w:w="1384"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至今（即2022.05.20</w:t>
            </w:r>
          </w:p>
        </w:tc>
        <w:tc>
          <w:tcPr>
            <w:tcW w:w="703"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88"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center"/>
              <w:textAlignment w:val="auto"/>
              <w:rPr>
                <w:rFonts w:hint="default" w:ascii="宋体" w:hAnsi="宋体" w:eastAsia="宋体" w:cs="宋体"/>
                <w:sz w:val="21"/>
                <w:szCs w:val="21"/>
                <w:lang w:val="en-US" w:eastAsia="zh-CN"/>
              </w:rPr>
            </w:pPr>
            <w:r>
              <w:rPr>
                <w:rFonts w:hint="eastAsia" w:ascii="宋体" w:hAnsi="宋体" w:eastAsia="宋体" w:cs="宋体"/>
                <w:sz w:val="21"/>
                <w:szCs w:val="21"/>
                <w:lang w:val="en-US" w:eastAsia="zh-CN"/>
              </w:rPr>
              <w:t>18</w:t>
            </w:r>
          </w:p>
        </w:tc>
        <w:tc>
          <w:tcPr>
            <w:tcW w:w="2229"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D04低压出线柜</w:t>
            </w:r>
          </w:p>
        </w:tc>
        <w:tc>
          <w:tcPr>
            <w:tcW w:w="1566"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GGD</w:t>
            </w:r>
          </w:p>
        </w:tc>
        <w:tc>
          <w:tcPr>
            <w:tcW w:w="750"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center"/>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w:t>
            </w:r>
          </w:p>
        </w:tc>
        <w:tc>
          <w:tcPr>
            <w:tcW w:w="1330"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2010.12</w:t>
            </w:r>
          </w:p>
        </w:tc>
        <w:tc>
          <w:tcPr>
            <w:tcW w:w="1384"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至今（即2022.05.20</w:t>
            </w:r>
          </w:p>
        </w:tc>
        <w:tc>
          <w:tcPr>
            <w:tcW w:w="703"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88"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center"/>
              <w:textAlignment w:val="auto"/>
              <w:rPr>
                <w:rFonts w:hint="default" w:ascii="宋体" w:hAnsi="宋体" w:eastAsia="宋体" w:cs="宋体"/>
                <w:sz w:val="21"/>
                <w:szCs w:val="21"/>
                <w:lang w:val="en-US" w:eastAsia="zh-CN"/>
              </w:rPr>
            </w:pPr>
            <w:r>
              <w:rPr>
                <w:rFonts w:hint="eastAsia" w:ascii="宋体" w:hAnsi="宋体" w:eastAsia="宋体" w:cs="宋体"/>
                <w:sz w:val="21"/>
                <w:szCs w:val="21"/>
                <w:lang w:val="en-US" w:eastAsia="zh-CN"/>
              </w:rPr>
              <w:t>19</w:t>
            </w:r>
          </w:p>
        </w:tc>
        <w:tc>
          <w:tcPr>
            <w:tcW w:w="2229"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D07进线总柜</w:t>
            </w:r>
          </w:p>
        </w:tc>
        <w:tc>
          <w:tcPr>
            <w:tcW w:w="1566"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GGD</w:t>
            </w:r>
          </w:p>
        </w:tc>
        <w:tc>
          <w:tcPr>
            <w:tcW w:w="750"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center"/>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w:t>
            </w:r>
          </w:p>
        </w:tc>
        <w:tc>
          <w:tcPr>
            <w:tcW w:w="1330"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2010.10</w:t>
            </w:r>
          </w:p>
        </w:tc>
        <w:tc>
          <w:tcPr>
            <w:tcW w:w="1384"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至今（即2022.05.20</w:t>
            </w:r>
          </w:p>
        </w:tc>
        <w:tc>
          <w:tcPr>
            <w:tcW w:w="703"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88"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center"/>
              <w:textAlignment w:val="auto"/>
              <w:rPr>
                <w:rFonts w:hint="default" w:ascii="宋体" w:hAnsi="宋体" w:eastAsia="宋体" w:cs="宋体"/>
                <w:sz w:val="21"/>
                <w:szCs w:val="21"/>
                <w:lang w:val="en-US" w:eastAsia="zh-CN"/>
              </w:rPr>
            </w:pPr>
            <w:r>
              <w:rPr>
                <w:rFonts w:hint="eastAsia" w:ascii="宋体" w:hAnsi="宋体" w:eastAsia="宋体" w:cs="宋体"/>
                <w:sz w:val="21"/>
                <w:szCs w:val="21"/>
                <w:lang w:val="en-US" w:eastAsia="zh-CN"/>
              </w:rPr>
              <w:t>20</w:t>
            </w:r>
          </w:p>
        </w:tc>
        <w:tc>
          <w:tcPr>
            <w:tcW w:w="2229"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D08电容补偿柜</w:t>
            </w:r>
          </w:p>
        </w:tc>
        <w:tc>
          <w:tcPr>
            <w:tcW w:w="1566"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SLWB-C</w:t>
            </w:r>
          </w:p>
        </w:tc>
        <w:tc>
          <w:tcPr>
            <w:tcW w:w="750"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center"/>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w:t>
            </w:r>
          </w:p>
        </w:tc>
        <w:tc>
          <w:tcPr>
            <w:tcW w:w="1330"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2010.10</w:t>
            </w:r>
          </w:p>
        </w:tc>
        <w:tc>
          <w:tcPr>
            <w:tcW w:w="1384"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至今（即2022.05.20</w:t>
            </w:r>
          </w:p>
        </w:tc>
        <w:tc>
          <w:tcPr>
            <w:tcW w:w="703"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88"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center"/>
              <w:textAlignment w:val="auto"/>
              <w:rPr>
                <w:rFonts w:hint="default" w:ascii="宋体" w:hAnsi="宋体" w:eastAsia="宋体" w:cs="宋体"/>
                <w:sz w:val="21"/>
                <w:szCs w:val="21"/>
                <w:lang w:val="en-US" w:eastAsia="zh-CN"/>
              </w:rPr>
            </w:pPr>
            <w:r>
              <w:rPr>
                <w:rFonts w:hint="eastAsia" w:ascii="宋体" w:hAnsi="宋体" w:eastAsia="宋体" w:cs="宋体"/>
                <w:sz w:val="21"/>
                <w:szCs w:val="21"/>
                <w:lang w:val="en-US" w:eastAsia="zh-CN"/>
              </w:rPr>
              <w:t>21</w:t>
            </w:r>
          </w:p>
        </w:tc>
        <w:tc>
          <w:tcPr>
            <w:tcW w:w="2229"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D09低压出线柜</w:t>
            </w:r>
          </w:p>
        </w:tc>
        <w:tc>
          <w:tcPr>
            <w:tcW w:w="1566"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GGD</w:t>
            </w:r>
          </w:p>
        </w:tc>
        <w:tc>
          <w:tcPr>
            <w:tcW w:w="750"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center"/>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w:t>
            </w:r>
          </w:p>
        </w:tc>
        <w:tc>
          <w:tcPr>
            <w:tcW w:w="1330"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2010年12月</w:t>
            </w:r>
          </w:p>
        </w:tc>
        <w:tc>
          <w:tcPr>
            <w:tcW w:w="1384"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至今（即2022.05.20</w:t>
            </w:r>
          </w:p>
        </w:tc>
        <w:tc>
          <w:tcPr>
            <w:tcW w:w="703"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88"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center"/>
              <w:textAlignment w:val="auto"/>
              <w:rPr>
                <w:rFonts w:hint="default" w:ascii="宋体" w:hAnsi="宋体" w:eastAsia="宋体" w:cs="宋体"/>
                <w:sz w:val="21"/>
                <w:szCs w:val="21"/>
                <w:lang w:val="en-US" w:eastAsia="zh-CN"/>
              </w:rPr>
            </w:pPr>
            <w:r>
              <w:rPr>
                <w:rFonts w:hint="eastAsia" w:ascii="宋体" w:hAnsi="宋体" w:eastAsia="宋体" w:cs="宋体"/>
                <w:sz w:val="21"/>
                <w:szCs w:val="21"/>
                <w:lang w:val="en-US" w:eastAsia="zh-CN"/>
              </w:rPr>
              <w:t>22</w:t>
            </w:r>
          </w:p>
        </w:tc>
        <w:tc>
          <w:tcPr>
            <w:tcW w:w="2229"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D10低压出线柜</w:t>
            </w:r>
          </w:p>
        </w:tc>
        <w:tc>
          <w:tcPr>
            <w:tcW w:w="1566"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GGD</w:t>
            </w:r>
          </w:p>
        </w:tc>
        <w:tc>
          <w:tcPr>
            <w:tcW w:w="750"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center"/>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w:t>
            </w:r>
          </w:p>
        </w:tc>
        <w:tc>
          <w:tcPr>
            <w:tcW w:w="1330"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2010年12月</w:t>
            </w:r>
          </w:p>
        </w:tc>
        <w:tc>
          <w:tcPr>
            <w:tcW w:w="1384"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至今（即2022.05.20</w:t>
            </w:r>
          </w:p>
        </w:tc>
        <w:tc>
          <w:tcPr>
            <w:tcW w:w="703"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88"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center"/>
              <w:textAlignment w:val="auto"/>
              <w:rPr>
                <w:rFonts w:hint="default" w:ascii="宋体" w:hAnsi="宋体" w:eastAsia="宋体" w:cs="宋体"/>
                <w:sz w:val="21"/>
                <w:szCs w:val="21"/>
                <w:lang w:val="en-US" w:eastAsia="zh-CN"/>
              </w:rPr>
            </w:pPr>
            <w:r>
              <w:rPr>
                <w:rFonts w:hint="eastAsia" w:ascii="宋体" w:hAnsi="宋体" w:eastAsia="宋体" w:cs="宋体"/>
                <w:sz w:val="21"/>
                <w:szCs w:val="21"/>
                <w:lang w:val="en-US" w:eastAsia="zh-CN"/>
              </w:rPr>
              <w:t>23</w:t>
            </w:r>
          </w:p>
        </w:tc>
        <w:tc>
          <w:tcPr>
            <w:tcW w:w="2229"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D11低压出线柜</w:t>
            </w:r>
          </w:p>
        </w:tc>
        <w:tc>
          <w:tcPr>
            <w:tcW w:w="1566"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GGD</w:t>
            </w:r>
          </w:p>
        </w:tc>
        <w:tc>
          <w:tcPr>
            <w:tcW w:w="750"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center"/>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w:t>
            </w:r>
          </w:p>
        </w:tc>
        <w:tc>
          <w:tcPr>
            <w:tcW w:w="1330"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2010年12月</w:t>
            </w:r>
          </w:p>
        </w:tc>
        <w:tc>
          <w:tcPr>
            <w:tcW w:w="1384"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至今（即2022.05.20</w:t>
            </w:r>
          </w:p>
        </w:tc>
        <w:tc>
          <w:tcPr>
            <w:tcW w:w="703"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88"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center"/>
              <w:textAlignment w:val="auto"/>
              <w:rPr>
                <w:rFonts w:hint="default" w:ascii="宋体" w:hAnsi="宋体" w:eastAsia="宋体" w:cs="宋体"/>
                <w:sz w:val="21"/>
                <w:szCs w:val="21"/>
                <w:lang w:val="en-US" w:eastAsia="zh-CN"/>
              </w:rPr>
            </w:pPr>
            <w:r>
              <w:rPr>
                <w:rFonts w:hint="eastAsia" w:ascii="宋体" w:hAnsi="宋体" w:eastAsia="宋体" w:cs="宋体"/>
                <w:sz w:val="21"/>
                <w:szCs w:val="21"/>
                <w:lang w:val="en-US" w:eastAsia="zh-CN"/>
              </w:rPr>
              <w:t>24</w:t>
            </w:r>
          </w:p>
        </w:tc>
        <w:tc>
          <w:tcPr>
            <w:tcW w:w="2229"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D12低压出线柜</w:t>
            </w:r>
          </w:p>
        </w:tc>
        <w:tc>
          <w:tcPr>
            <w:tcW w:w="1566"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GGD</w:t>
            </w:r>
          </w:p>
        </w:tc>
        <w:tc>
          <w:tcPr>
            <w:tcW w:w="750"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center"/>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w:t>
            </w:r>
          </w:p>
        </w:tc>
        <w:tc>
          <w:tcPr>
            <w:tcW w:w="1330"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2010年12月</w:t>
            </w:r>
          </w:p>
        </w:tc>
        <w:tc>
          <w:tcPr>
            <w:tcW w:w="1384"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至今（即2022.05.20</w:t>
            </w:r>
          </w:p>
        </w:tc>
        <w:tc>
          <w:tcPr>
            <w:tcW w:w="703"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88"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center"/>
              <w:textAlignment w:val="auto"/>
              <w:rPr>
                <w:rFonts w:hint="default" w:ascii="宋体" w:hAnsi="宋体" w:eastAsia="宋体" w:cs="宋体"/>
                <w:sz w:val="21"/>
                <w:szCs w:val="21"/>
                <w:lang w:val="en-US" w:eastAsia="zh-CN"/>
              </w:rPr>
            </w:pPr>
            <w:r>
              <w:rPr>
                <w:rFonts w:hint="eastAsia" w:ascii="宋体" w:hAnsi="宋体" w:eastAsia="宋体" w:cs="宋体"/>
                <w:sz w:val="21"/>
                <w:szCs w:val="21"/>
                <w:lang w:val="en-US" w:eastAsia="zh-CN"/>
              </w:rPr>
              <w:t>25</w:t>
            </w:r>
          </w:p>
        </w:tc>
        <w:tc>
          <w:tcPr>
            <w:tcW w:w="2229"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电容补偿柜</w:t>
            </w:r>
          </w:p>
        </w:tc>
        <w:tc>
          <w:tcPr>
            <w:tcW w:w="1566"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GGD</w:t>
            </w:r>
          </w:p>
        </w:tc>
        <w:tc>
          <w:tcPr>
            <w:tcW w:w="750"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center"/>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w:t>
            </w:r>
          </w:p>
        </w:tc>
        <w:tc>
          <w:tcPr>
            <w:tcW w:w="1330"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2010.10</w:t>
            </w:r>
          </w:p>
        </w:tc>
        <w:tc>
          <w:tcPr>
            <w:tcW w:w="1384"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至今（即2022.05.20</w:t>
            </w:r>
          </w:p>
        </w:tc>
        <w:tc>
          <w:tcPr>
            <w:tcW w:w="703" w:type="dxa"/>
            <w:vAlign w:val="center"/>
          </w:tcPr>
          <w:p>
            <w:pPr>
              <w:keepNext w:val="0"/>
              <w:keepLines w:val="0"/>
              <w:pageBreakBefore w:val="0"/>
              <w:kinsoku/>
              <w:wordWrap/>
              <w:overflowPunct/>
              <w:topLinePunct w:val="0"/>
              <w:autoSpaceDE/>
              <w:autoSpaceDN/>
              <w:bidi w:val="0"/>
              <w:adjustRightInd/>
              <w:snapToGrid/>
              <w:spacing w:line="240" w:lineRule="auto"/>
              <w:ind w:right="0" w:rightChars="0"/>
              <w:jc w:val="left"/>
              <w:textAlignment w:val="auto"/>
              <w:rPr>
                <w:rFonts w:hint="eastAsia" w:ascii="宋体" w:hAnsi="宋体" w:eastAsia="宋体" w:cs="宋体"/>
                <w:sz w:val="21"/>
                <w:szCs w:val="21"/>
                <w:lang w:val="en-US" w:eastAsia="zh-CN"/>
              </w:rPr>
            </w:pPr>
          </w:p>
        </w:tc>
      </w:tr>
    </w:tbl>
    <w:p>
      <w:pPr>
        <w:rPr>
          <w:rFonts w:hint="default" w:ascii="宋体" w:hAnsi="宋体" w:eastAsia="宋体" w:cs="宋体"/>
          <w:i w:val="0"/>
          <w:iCs w:val="0"/>
          <w:color w:val="000000"/>
          <w:kern w:val="0"/>
          <w:sz w:val="20"/>
          <w:szCs w:val="20"/>
          <w:u w:val="none"/>
          <w:lang w:val="en-US" w:eastAsia="zh-CN" w:bidi="ar"/>
        </w:rPr>
      </w:pPr>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Nimbus Roman No9 L"/>
    <w:panose1 w:val="02020603050405020304"/>
    <w:charset w:val="81"/>
    <w:family w:val="auto"/>
    <w:pitch w:val="default"/>
    <w:sig w:usb0="00000000" w:usb1="00000000" w:usb2="00000009" w:usb3="00000000" w:csb0="400001FF" w:csb1="FFFF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方正书宋_GBK">
    <w:panose1 w:val="02000000000000000000"/>
    <w:charset w:val="86"/>
    <w:family w:val="auto"/>
    <w:pitch w:val="default"/>
    <w:sig w:usb0="00000001" w:usb1="08000000" w:usb2="00000000" w:usb3="00000000" w:csb0="00040000" w:csb1="00000000"/>
  </w:font>
  <w:font w:name="方正黑体_GBK">
    <w:panose1 w:val="02000000000000000000"/>
    <w:charset w:val="86"/>
    <w:family w:val="auto"/>
    <w:pitch w:val="default"/>
    <w:sig w:usb0="00000001" w:usb1="08000000" w:usb2="00000000" w:usb3="00000000" w:csb0="00040000" w:csb1="00000000"/>
  </w:font>
  <w:font w:name="Nimbus Roman No9 L">
    <w:panose1 w:val="00000000000000000000"/>
    <w:charset w:val="00"/>
    <w:family w:val="auto"/>
    <w:pitch w:val="default"/>
    <w:sig w:usb0="00000000" w:usb1="00000000" w:usb2="00000000" w:usb3="00000000" w:csb0="00000000" w:csb1="00000000"/>
  </w:font>
  <w:font w:name="DejaVu Sans">
    <w:panose1 w:val="020B0603030804020204"/>
    <w:charset w:val="00"/>
    <w:family w:val="auto"/>
    <w:pitch w:val="default"/>
    <w:sig w:usb0="E7006EFF" w:usb1="D200FDFF" w:usb2="0A246029" w:usb3="0400200C" w:csb0="600001FF" w:csb1="DFFF0000"/>
  </w:font>
  <w:font w:name="方正宋体S-超大字符集">
    <w:panose1 w:val="02000000000000000000"/>
    <w:charset w:val="86"/>
    <w:family w:val="auto"/>
    <w:pitch w:val="default"/>
    <w:sig w:usb0="00000001" w:usb1="0800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true"/>
  <w:bordersDoNotSurroundFooter w:val="true"/>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dlNWMxNTg5NGU4ODM0ZWU0ZjdmYzgyMjk2ODMxMGQifQ=="/>
  </w:docVars>
  <w:rsids>
    <w:rsidRoot w:val="174B1136"/>
    <w:rsid w:val="06ED638C"/>
    <w:rsid w:val="07D16417"/>
    <w:rsid w:val="097C11A0"/>
    <w:rsid w:val="12757AFB"/>
    <w:rsid w:val="174B1136"/>
    <w:rsid w:val="17844FD1"/>
    <w:rsid w:val="1F8E5418"/>
    <w:rsid w:val="250173EC"/>
    <w:rsid w:val="252C3B20"/>
    <w:rsid w:val="2FBFB0D6"/>
    <w:rsid w:val="3A9B6A33"/>
    <w:rsid w:val="44ED71C7"/>
    <w:rsid w:val="505C7D63"/>
    <w:rsid w:val="639F6067"/>
    <w:rsid w:val="65B13675"/>
    <w:rsid w:val="661962CB"/>
    <w:rsid w:val="6EB836D5"/>
    <w:rsid w:val="6FB31B8B"/>
    <w:rsid w:val="74651106"/>
    <w:rsid w:val="B3BDEF3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5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qFormat/>
    <w:uiPriority w:val="0"/>
    <w:pPr>
      <w:keepNext/>
      <w:jc w:val="center"/>
      <w:outlineLvl w:val="0"/>
    </w:pPr>
    <w:rPr>
      <w:rFonts w:hint="eastAsia" w:ascii="Times New Roman" w:hAnsi="Times New Roman" w:eastAsia="宋体" w:cs="Times New Roman"/>
      <w:b/>
      <w:sz w:val="32"/>
      <w:szCs w:val="22"/>
    </w:rPr>
  </w:style>
  <w:style w:type="paragraph" w:styleId="3">
    <w:name w:val="heading 2"/>
    <w:basedOn w:val="1"/>
    <w:next w:val="1"/>
    <w:link w:val="8"/>
    <w:semiHidden/>
    <w:unhideWhenUsed/>
    <w:qFormat/>
    <w:uiPriority w:val="0"/>
    <w:pPr>
      <w:keepNext/>
      <w:keepLines/>
      <w:spacing w:before="260" w:beforeLines="0" w:after="260" w:afterLines="0" w:line="413" w:lineRule="auto"/>
      <w:outlineLvl w:val="1"/>
    </w:pPr>
    <w:rPr>
      <w:rFonts w:ascii="Arial" w:hAnsi="Arial" w:eastAsia="黑体" w:cs="Times New Roman"/>
      <w:b/>
      <w:bCs/>
      <w:sz w:val="28"/>
      <w:szCs w:val="32"/>
    </w:rPr>
  </w:style>
  <w:style w:type="paragraph" w:styleId="4">
    <w:name w:val="heading 3"/>
    <w:basedOn w:val="1"/>
    <w:next w:val="1"/>
    <w:link w:val="9"/>
    <w:semiHidden/>
    <w:unhideWhenUsed/>
    <w:qFormat/>
    <w:uiPriority w:val="0"/>
    <w:pPr>
      <w:keepNext/>
      <w:keepLines/>
      <w:spacing w:beforeLines="0" w:beforeAutospacing="0" w:afterLines="0" w:afterAutospacing="0" w:line="413" w:lineRule="auto"/>
      <w:outlineLvl w:val="2"/>
    </w:pPr>
    <w:rPr>
      <w:rFonts w:ascii="Times New Roman" w:hAnsi="Times New Roman" w:eastAsia="宋体" w:cs="Times New Roman"/>
      <w:b/>
      <w:sz w:val="28"/>
    </w:rPr>
  </w:style>
  <w:style w:type="character" w:default="1" w:styleId="7">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table" w:styleId="6">
    <w:name w:val="Table Grid"/>
    <w:basedOn w:val="5"/>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8">
    <w:name w:val="标题 2 Char"/>
    <w:link w:val="3"/>
    <w:qFormat/>
    <w:uiPriority w:val="162"/>
    <w:rPr>
      <w:rFonts w:ascii="Arial" w:hAnsi="Arial" w:eastAsia="黑体" w:cs="Times New Roman"/>
      <w:b/>
      <w:bCs/>
      <w:sz w:val="28"/>
      <w:szCs w:val="32"/>
    </w:rPr>
  </w:style>
  <w:style w:type="character" w:customStyle="1" w:styleId="9">
    <w:name w:val="标题 3 Char"/>
    <w:basedOn w:val="7"/>
    <w:link w:val="4"/>
    <w:qFormat/>
    <w:uiPriority w:val="0"/>
    <w:rPr>
      <w:rFonts w:ascii="Times New Roman" w:hAnsi="Times New Roman" w:eastAsia="宋体" w:cs="Times New Roman"/>
      <w:b/>
      <w:sz w:val="2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4</TotalTime>
  <ScaleCrop>false</ScaleCrop>
  <LinksUpToDate>false</LinksUpToDate>
  <CharactersWithSpaces>0</CharactersWithSpaces>
  <Application>WPS Office_11.8.2.9849_F1E327BC-269C-435d-A152-05C5408002CA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2022-05-20T21:21:00Z</dcterms:created>
  <dc:creator>r嚴</dc:creator>
  <cp:lastModifiedBy>wjw</cp:lastModifiedBy>
  <dcterms:modified xsi:type="dcterms:W3CDTF">2022-09-23T09:42:18Z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2052-11.8.2.9849</vt:lpwstr>
  </property>
  <property fmtid="{D5CDD505-2E9C-101B-9397-08002B2CF9AE}" pid="3" name="ICV">
    <vt:lpwstr>ABEDF7D081154431B2312CC39DAEFE64</vt:lpwstr>
  </property>
</Properties>
</file>