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562" w:firstLineChars="200"/>
        <w:rPr>
          <w:rFonts w:ascii="黑体" w:hAnsi="黑体" w:eastAsia="黑体" w:cs="黑体"/>
          <w:b/>
          <w:sz w:val="28"/>
          <w:szCs w:val="28"/>
          <w:lang w:eastAsia="zh-Hans"/>
        </w:rPr>
      </w:pPr>
    </w:p>
    <w:p>
      <w:pPr>
        <w:pStyle w:val="2"/>
        <w:ind w:left="0" w:leftChars="0"/>
        <w:jc w:val="center"/>
        <w:rPr>
          <w:rFonts w:ascii="黑体" w:hAnsi="黑体" w:eastAsia="黑体" w:cs="黑体"/>
          <w:sz w:val="36"/>
          <w:szCs w:val="36"/>
        </w:rPr>
      </w:pPr>
      <w:r>
        <w:rPr>
          <w:rFonts w:hint="eastAsia" w:ascii="黑体" w:hAnsi="黑体" w:eastAsia="黑体" w:cs="黑体"/>
          <w:sz w:val="36"/>
          <w:szCs w:val="36"/>
        </w:rPr>
        <w:t>湖北省卫生健康委员会</w:t>
      </w:r>
    </w:p>
    <w:p>
      <w:pPr>
        <w:pStyle w:val="2"/>
        <w:ind w:left="0" w:leftChars="0"/>
        <w:jc w:val="center"/>
        <w:rPr>
          <w:rFonts w:ascii="黑体" w:hAnsi="黑体" w:eastAsia="黑体" w:cs="黑体"/>
          <w:sz w:val="36"/>
          <w:szCs w:val="36"/>
        </w:rPr>
      </w:pPr>
      <w:r>
        <w:rPr>
          <w:rFonts w:hint="eastAsia" w:ascii="黑体" w:hAnsi="黑体" w:eastAsia="黑体" w:cs="黑体"/>
          <w:sz w:val="36"/>
          <w:szCs w:val="36"/>
          <w:lang w:eastAsia="zh-CN"/>
        </w:rPr>
        <w:t>部门</w:t>
      </w:r>
      <w:r>
        <w:rPr>
          <w:rFonts w:hint="eastAsia" w:ascii="黑体" w:hAnsi="黑体" w:eastAsia="黑体" w:cs="黑体"/>
          <w:sz w:val="36"/>
          <w:szCs w:val="36"/>
        </w:rPr>
        <w:t>网站运维服务项目需求</w:t>
      </w:r>
    </w:p>
    <w:p>
      <w:pPr>
        <w:spacing w:line="360" w:lineRule="auto"/>
        <w:ind w:firstLine="562" w:firstLineChars="200"/>
        <w:rPr>
          <w:rFonts w:ascii="黑体" w:hAnsi="黑体" w:eastAsia="黑体" w:cs="黑体"/>
          <w:b/>
          <w:sz w:val="28"/>
          <w:szCs w:val="28"/>
          <w:lang w:eastAsia="zh-Hans"/>
        </w:rPr>
      </w:pP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一、项目名称：湖北省卫生健康委员</w:t>
      </w:r>
      <w:r>
        <w:rPr>
          <w:rFonts w:hint="eastAsia" w:ascii="仿宋" w:hAnsi="仿宋" w:eastAsia="仿宋" w:cs="仿宋"/>
          <w:sz w:val="28"/>
          <w:szCs w:val="28"/>
          <w:lang w:eastAsia="zh-CN"/>
        </w:rPr>
        <w:t>会部门</w:t>
      </w:r>
      <w:r>
        <w:rPr>
          <w:rFonts w:hint="eastAsia" w:ascii="仿宋" w:hAnsi="仿宋" w:eastAsia="仿宋" w:cs="仿宋"/>
          <w:sz w:val="28"/>
          <w:szCs w:val="28"/>
        </w:rPr>
        <w:t>网站运维服务项目</w:t>
      </w:r>
    </w:p>
    <w:p>
      <w:pPr>
        <w:spacing w:line="480" w:lineRule="auto"/>
        <w:ind w:firstLine="560" w:firstLineChars="200"/>
        <w:rPr>
          <w:rFonts w:ascii="仿宋_GB2312" w:hAnsi="仿宋_GB2312" w:eastAsia="仿宋_GB2312" w:cs="仿宋_GB2312"/>
          <w:sz w:val="28"/>
          <w:szCs w:val="28"/>
        </w:rPr>
      </w:pPr>
      <w:r>
        <w:rPr>
          <w:rFonts w:hint="eastAsia" w:ascii="仿宋" w:hAnsi="仿宋" w:eastAsia="仿宋" w:cs="仿宋"/>
          <w:sz w:val="28"/>
          <w:szCs w:val="28"/>
        </w:rPr>
        <w:t>二、项目预算：3</w:t>
      </w:r>
      <w:r>
        <w:rPr>
          <w:rFonts w:ascii="仿宋" w:hAnsi="仿宋" w:eastAsia="仿宋" w:cs="仿宋"/>
          <w:sz w:val="28"/>
          <w:szCs w:val="28"/>
        </w:rPr>
        <w:t>9</w:t>
      </w:r>
      <w:r>
        <w:rPr>
          <w:rFonts w:hint="eastAsia" w:ascii="仿宋" w:hAnsi="仿宋" w:eastAsia="仿宋" w:cs="仿宋"/>
          <w:sz w:val="28"/>
          <w:szCs w:val="28"/>
        </w:rPr>
        <w:t>万元（信息技术服务，</w:t>
      </w:r>
      <w:r>
        <w:rPr>
          <w:rFonts w:hint="eastAsia" w:ascii="仿宋" w:hAnsi="仿宋" w:eastAsia="仿宋" w:cs="仿宋"/>
          <w:b/>
          <w:bCs/>
          <w:sz w:val="28"/>
          <w:szCs w:val="28"/>
        </w:rPr>
        <w:t>运维项目是C0206，下面选择C020603</w:t>
      </w:r>
      <w:r>
        <w:rPr>
          <w:rFonts w:hint="eastAsia" w:ascii="仿宋" w:hAnsi="仿宋" w:eastAsia="仿宋" w:cs="仿宋"/>
          <w:sz w:val="28"/>
          <w:szCs w:val="28"/>
        </w:rPr>
        <w:t>）</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三、采购需求如下：</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本项目要求供应商满足《政府采购法》第二十二条规定，在“信用中国”网站（www.creditchina.gov.cn）中未被列入失信被执行人、重大税收违法案件当事人名单和“中国政府采购”网站（www.ccgp.gov.cn）政府采购严重违法失信行为记录名单，熟悉省集约化服务平台和政府网站、新媒体考核要求，提供以下服务：</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1、网站运维服务。</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（1）技术保障。提供7*24小时的网站运营响应服务，通过远程、现场等方式指导平台使用操作。每天对网站系统的服务情况进行监控，保障平台各板块功能能正常使用，对发现的问题进行及时解决和优化。</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（2）基础修改。根据需要，在页面整体布局不变的情况下调整栏目及页面，提供对系统后台的账号进行新增、停用及权限调整操作，同时对网站地图及外链进行管理更新。</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（3）美工设计。提供网站横幅、弹窗、专题入口图片设计服务，横幅、弹窗动画效果设计；同时根据提供的相关解读文字材料，提供“一图读懂”图片</w:t>
      </w:r>
      <w:r>
        <w:rPr>
          <w:rFonts w:hint="eastAsia" w:ascii="仿宋" w:hAnsi="仿宋" w:eastAsia="仿宋" w:cs="仿宋"/>
          <w:sz w:val="28"/>
          <w:szCs w:val="28"/>
          <w:lang w:eastAsia="zh-CN"/>
        </w:rPr>
        <w:t>等</w:t>
      </w:r>
      <w:r>
        <w:rPr>
          <w:rFonts w:hint="eastAsia" w:ascii="仿宋" w:hAnsi="仿宋" w:eastAsia="仿宋" w:cs="仿宋"/>
          <w:sz w:val="28"/>
          <w:szCs w:val="28"/>
        </w:rPr>
        <w:t>解读设计服务，满足绩效考核指标要求。</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（4）数据处理。提供自定义查询数据维护、特定格式数据转换、动态图表数据维护、文件分类查询字段维护服务。</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（5）专栏页面定制</w:t>
      </w:r>
      <w:r>
        <w:rPr>
          <w:rFonts w:hint="eastAsia" w:ascii="仿宋" w:hAnsi="仿宋" w:eastAsia="仿宋" w:cs="仿宋"/>
          <w:sz w:val="28"/>
          <w:szCs w:val="28"/>
          <w:lang w:eastAsia="zh-CN"/>
        </w:rPr>
        <w:t>服务</w:t>
      </w:r>
      <w:r>
        <w:rPr>
          <w:rFonts w:hint="eastAsia" w:ascii="仿宋" w:hAnsi="仿宋" w:eastAsia="仿宋" w:cs="仿宋"/>
          <w:sz w:val="28"/>
          <w:szCs w:val="28"/>
        </w:rPr>
        <w:t>。包含专题的页面效果图设计、静态页面制作和模板实施建设等。</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6）网站日常巡检及安全保障服务。包含网站及政务新媒体监控，每周主动检查依申请公开信件回复、政务新媒体信息更新情况，并形成提醒文件，以邮件形式进行汇报；同时每个季度检查网站每个栏目的更新完善情况，对信息更新不达标进行更新提醒，每季度末以邮件形式进行汇报。</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（7）智能问答数据运维。每周对智能机器人的问题回复准确性进行巡检，同时每半年对系统未知问题进行梳理导出，根据提供的标准回复内容，管理维护问题词库，保证智能问答的回复准确性。</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w:t>
      </w:r>
      <w:r>
        <w:rPr>
          <w:rFonts w:ascii="仿宋" w:hAnsi="仿宋" w:eastAsia="仿宋" w:cs="仿宋"/>
          <w:sz w:val="28"/>
          <w:szCs w:val="28"/>
        </w:rPr>
        <w:t>8</w:t>
      </w:r>
      <w:r>
        <w:rPr>
          <w:rFonts w:hint="eastAsia" w:ascii="仿宋" w:hAnsi="仿宋" w:eastAsia="仿宋" w:cs="仿宋"/>
          <w:sz w:val="28"/>
          <w:szCs w:val="28"/>
        </w:rPr>
        <w:t>）网站安全保障服务。根据采购人提供的第三方安全扫描报告，组织专业人员定位分析相关问题，针对扫描发现的安全问题，迅速修补安全漏洞，保障系统的稳定、持续运行。</w:t>
      </w:r>
    </w:p>
    <w:p>
      <w:pPr>
        <w:spacing w:line="480" w:lineRule="auto"/>
        <w:ind w:firstLine="560" w:firstLineChars="200"/>
        <w:rPr>
          <w:rFonts w:ascii="仿宋" w:hAnsi="仿宋" w:eastAsia="仿宋" w:cs="仿宋"/>
          <w:sz w:val="28"/>
          <w:szCs w:val="28"/>
        </w:rPr>
      </w:pPr>
      <w:bookmarkStart w:id="0" w:name="_Toc18921"/>
      <w:r>
        <w:rPr>
          <w:rFonts w:hint="eastAsia" w:ascii="仿宋" w:hAnsi="仿宋" w:eastAsia="仿宋" w:cs="仿宋"/>
          <w:sz w:val="28"/>
          <w:szCs w:val="28"/>
        </w:rPr>
        <w:t>（9）功能定制开发服务</w:t>
      </w:r>
      <w:bookmarkEnd w:id="0"/>
      <w:r>
        <w:rPr>
          <w:rFonts w:hint="eastAsia" w:ascii="仿宋" w:hAnsi="仿宋" w:eastAsia="仿宋" w:cs="仿宋"/>
          <w:sz w:val="28"/>
          <w:szCs w:val="28"/>
        </w:rPr>
        <w:t>。包含自定义查询功能、统计数据图表功能、政策文件分类查询。</w:t>
      </w:r>
    </w:p>
    <w:p>
      <w:pPr>
        <w:spacing w:line="480" w:lineRule="auto"/>
        <w:ind w:firstLine="560" w:firstLineChars="200"/>
        <w:rPr>
          <w:rFonts w:ascii="仿宋" w:hAnsi="仿宋" w:eastAsia="仿宋" w:cs="仿宋"/>
          <w:sz w:val="28"/>
          <w:szCs w:val="28"/>
        </w:rPr>
      </w:pPr>
      <w:bookmarkStart w:id="1" w:name="_Toc21778"/>
      <w:r>
        <w:rPr>
          <w:rFonts w:hint="eastAsia" w:ascii="仿宋" w:hAnsi="仿宋" w:eastAsia="仿宋" w:cs="仿宋"/>
          <w:sz w:val="28"/>
          <w:szCs w:val="28"/>
        </w:rPr>
        <w:t>（1</w:t>
      </w:r>
      <w:r>
        <w:rPr>
          <w:rFonts w:ascii="仿宋" w:hAnsi="仿宋" w:eastAsia="仿宋" w:cs="仿宋"/>
          <w:sz w:val="28"/>
          <w:szCs w:val="28"/>
        </w:rPr>
        <w:t>0</w:t>
      </w:r>
      <w:r>
        <w:rPr>
          <w:rFonts w:hint="eastAsia" w:ascii="仿宋" w:hAnsi="仿宋" w:eastAsia="仿宋" w:cs="仿宋"/>
          <w:sz w:val="28"/>
          <w:szCs w:val="28"/>
        </w:rPr>
        <w:t>）委网站与政务新媒体季度普查考核</w:t>
      </w:r>
      <w:bookmarkEnd w:id="1"/>
      <w:r>
        <w:rPr>
          <w:rFonts w:hint="eastAsia" w:ascii="仿宋" w:hAnsi="仿宋" w:eastAsia="仿宋" w:cs="仿宋"/>
          <w:sz w:val="28"/>
          <w:szCs w:val="28"/>
        </w:rPr>
        <w:t>。按照最新国办普查考核指标要求，对委网站及政务新媒体在每季度考核节点前一个月对照各项指标进行自查与整改工作，保障委网站及政务新媒体每季度普查不被通报，工作内容包括：普查测评、问题整改、整改复查。</w:t>
      </w:r>
    </w:p>
    <w:p>
      <w:pPr>
        <w:spacing w:line="480" w:lineRule="auto"/>
        <w:ind w:firstLine="560" w:firstLineChars="200"/>
        <w:rPr>
          <w:rFonts w:ascii="仿宋" w:hAnsi="仿宋" w:eastAsia="仿宋" w:cs="仿宋"/>
          <w:sz w:val="28"/>
          <w:szCs w:val="28"/>
        </w:rPr>
      </w:pPr>
      <w:bookmarkStart w:id="2" w:name="_Toc19440"/>
      <w:r>
        <w:rPr>
          <w:rFonts w:hint="eastAsia" w:ascii="仿宋" w:hAnsi="仿宋" w:eastAsia="仿宋" w:cs="仿宋"/>
          <w:sz w:val="28"/>
          <w:szCs w:val="28"/>
        </w:rPr>
        <w:t>（1</w:t>
      </w:r>
      <w:r>
        <w:rPr>
          <w:rFonts w:ascii="仿宋" w:hAnsi="仿宋" w:eastAsia="仿宋" w:cs="仿宋"/>
          <w:sz w:val="28"/>
          <w:szCs w:val="28"/>
        </w:rPr>
        <w:t>1</w:t>
      </w:r>
      <w:r>
        <w:rPr>
          <w:rFonts w:hint="eastAsia" w:ascii="仿宋" w:hAnsi="仿宋" w:eastAsia="仿宋" w:cs="仿宋"/>
          <w:sz w:val="28"/>
          <w:szCs w:val="28"/>
        </w:rPr>
        <w:t>）委网站与政务新媒体年度绩效考核</w:t>
      </w:r>
      <w:bookmarkEnd w:id="2"/>
      <w:r>
        <w:rPr>
          <w:rFonts w:hint="eastAsia" w:ascii="仿宋" w:hAnsi="仿宋" w:eastAsia="仿宋" w:cs="仿宋"/>
          <w:sz w:val="28"/>
          <w:szCs w:val="28"/>
        </w:rPr>
        <w:t>。按照最新省政府网站绩效考核指标要求，对委网站及政务新媒体在每年的考核节点前两个月对照各项指标进行自查与整改工作，保障委网站及政务新媒体考核达标，工作内容包括：绩效自评与整改、初评整改与复议、考评结果分析。</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2、委直部门网站和新媒体监测。</w:t>
      </w:r>
    </w:p>
    <w:p>
      <w:pPr>
        <w:spacing w:line="480" w:lineRule="auto"/>
        <w:ind w:firstLine="560" w:firstLineChars="200"/>
        <w:rPr>
          <w:rFonts w:ascii="仿宋" w:hAnsi="仿宋" w:eastAsia="仿宋" w:cs="仿宋"/>
          <w:sz w:val="28"/>
          <w:szCs w:val="28"/>
        </w:rPr>
      </w:pPr>
      <w:bookmarkStart w:id="3" w:name="_Toc30333"/>
      <w:r>
        <w:rPr>
          <w:rFonts w:hint="eastAsia" w:ascii="仿宋" w:hAnsi="仿宋" w:eastAsia="仿宋" w:cs="仿宋"/>
          <w:sz w:val="28"/>
          <w:szCs w:val="28"/>
        </w:rPr>
        <w:t>（1）1</w:t>
      </w:r>
      <w:r>
        <w:rPr>
          <w:rFonts w:ascii="仿宋" w:hAnsi="仿宋" w:eastAsia="仿宋" w:cs="仿宋"/>
          <w:sz w:val="28"/>
          <w:szCs w:val="28"/>
        </w:rPr>
        <w:t>7</w:t>
      </w:r>
      <w:r>
        <w:rPr>
          <w:rFonts w:hint="eastAsia" w:ascii="仿宋" w:hAnsi="仿宋" w:eastAsia="仿宋" w:cs="仿宋"/>
          <w:sz w:val="28"/>
          <w:szCs w:val="28"/>
        </w:rPr>
        <w:t>个政务新媒体账号监测</w:t>
      </w:r>
      <w:bookmarkEnd w:id="3"/>
      <w:r>
        <w:rPr>
          <w:rFonts w:hint="eastAsia" w:ascii="仿宋" w:hAnsi="仿宋" w:eastAsia="仿宋" w:cs="仿宋"/>
          <w:sz w:val="28"/>
          <w:szCs w:val="28"/>
        </w:rPr>
        <w:t>。按照国办政务新媒体检查指标，对政务新媒体备案系统中已备案的1</w:t>
      </w:r>
      <w:r>
        <w:rPr>
          <w:rFonts w:ascii="仿宋" w:hAnsi="仿宋" w:eastAsia="仿宋" w:cs="仿宋"/>
          <w:sz w:val="28"/>
          <w:szCs w:val="28"/>
        </w:rPr>
        <w:t>7</w:t>
      </w:r>
      <w:r>
        <w:rPr>
          <w:rFonts w:hint="eastAsia" w:ascii="仿宋" w:hAnsi="仿宋" w:eastAsia="仿宋" w:cs="仿宋"/>
          <w:sz w:val="28"/>
          <w:szCs w:val="28"/>
        </w:rPr>
        <w:t>个新媒体账号进行常态化监测与人工核验，检查已发布的信息是否存在安全、泄密事故等严重问题，检查各新媒体账号内容更新频率，避免出现“僵尸”、“睡眠”问题，检查是否存在购买“粉丝”、强制要求群众点赞等弄虚作假行为，加强政务新媒体监督管理，有效引导网上舆论，让政务新媒体成为联系群众、服务群众、凝聚群众的重要平台和有效“利器”，工作内容主要包括：系统监测、人工复核、监测报告，结合系统监测及人工复核结果，出具详细的季度新媒体监测报告，报告内容包含检查结果总览及检查结果详情，同时将检测报告反馈各新媒体账号主办单位整改，5个工作日内完成整改。</w:t>
      </w:r>
    </w:p>
    <w:p>
      <w:pPr>
        <w:spacing w:line="480" w:lineRule="auto"/>
        <w:ind w:firstLine="560" w:firstLineChars="200"/>
        <w:rPr>
          <w:rFonts w:ascii="仿宋" w:hAnsi="仿宋" w:eastAsia="仿宋" w:cs="仿宋"/>
          <w:sz w:val="28"/>
          <w:szCs w:val="28"/>
        </w:rPr>
      </w:pPr>
      <w:bookmarkStart w:id="4" w:name="_Toc208"/>
      <w:r>
        <w:rPr>
          <w:rFonts w:hint="eastAsia" w:ascii="仿宋" w:hAnsi="仿宋" w:eastAsia="仿宋" w:cs="仿宋"/>
          <w:sz w:val="28"/>
          <w:szCs w:val="28"/>
        </w:rPr>
        <w:t>（2）委直部门网站</w:t>
      </w:r>
      <w:bookmarkEnd w:id="4"/>
      <w:r>
        <w:rPr>
          <w:rFonts w:hint="eastAsia" w:ascii="仿宋" w:hAnsi="仿宋" w:eastAsia="仿宋" w:cs="仿宋"/>
          <w:sz w:val="28"/>
          <w:szCs w:val="28"/>
        </w:rPr>
        <w:t>错别字、敏感信息扫描。每季度监测湖北省临床检验中心、湖北省医学会</w:t>
      </w:r>
      <w:r>
        <w:rPr>
          <w:rFonts w:ascii="仿宋" w:hAnsi="仿宋" w:eastAsia="仿宋" w:cs="仿宋"/>
          <w:sz w:val="28"/>
          <w:szCs w:val="28"/>
        </w:rPr>
        <w:t>、</w:t>
      </w:r>
      <w:r>
        <w:rPr>
          <w:rFonts w:hint="eastAsia" w:ascii="仿宋" w:hAnsi="仿宋" w:eastAsia="仿宋" w:cs="仿宋"/>
          <w:sz w:val="28"/>
          <w:szCs w:val="28"/>
        </w:rPr>
        <w:t>湖北省卫生人才网网站中打不开的错链、死链（包括图片、附件、外部链接等）。错误链接定位准确，统计首页和其他页面不可用链接数，以及各自的链接类型的不可用数量，提供不可用链接详细信息，包括链接状态码、状态说明、错链URL地址、错链标题、所在父页、监测时间等信息，方便后期修改。</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3、网站创新功能建设。</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1）便民惠企主题页面设计与开发。建立便民惠企政策文件专区，为公众、企业提供便民惠企政策的查询入口。梳理湖北省卫健委各类便民惠企政策文件，设计便民惠企类政策文件的展现形式，开发便民惠企政策专属页面。梳理便民惠企类规范性文件，在规范性文件查询页面中，建立便民惠企类规范性文件的分类查询，便民惠企得分类查询直接跳转到便民惠企专区。梳理便民惠企类办事服务事项，建立办事服务事项与便民惠企类政策文件的对应关系，实现便民惠企政策与办事服务事项的关联跳转。</w:t>
      </w:r>
    </w:p>
    <w:p>
      <w:pPr>
        <w:spacing w:line="480" w:lineRule="auto"/>
        <w:ind w:firstLine="560" w:firstLineChars="200"/>
        <w:rPr>
          <w:rFonts w:ascii="仿宋" w:hAnsi="仿宋" w:eastAsia="仿宋" w:cs="仿宋"/>
          <w:sz w:val="28"/>
          <w:szCs w:val="28"/>
        </w:rPr>
      </w:pPr>
      <w:r>
        <w:rPr>
          <w:rFonts w:hint="eastAsia" w:ascii="仿宋" w:hAnsi="仿宋" w:eastAsia="仿宋" w:cs="仿宋"/>
          <w:sz w:val="28"/>
          <w:szCs w:val="28"/>
        </w:rPr>
        <w:t>（2）长者专区设计与开发。基于卫健委</w:t>
      </w:r>
      <w:r>
        <w:rPr>
          <w:rFonts w:hint="eastAsia" w:ascii="仿宋" w:hAnsi="仿宋" w:eastAsia="仿宋" w:cs="仿宋"/>
          <w:sz w:val="28"/>
          <w:szCs w:val="28"/>
          <w:lang w:eastAsia="zh-CN"/>
        </w:rPr>
        <w:t>部门</w:t>
      </w:r>
      <w:r>
        <w:rPr>
          <w:rFonts w:hint="eastAsia" w:ascii="仿宋" w:hAnsi="仿宋" w:eastAsia="仿宋" w:cs="仿宋"/>
          <w:sz w:val="28"/>
          <w:szCs w:val="28"/>
        </w:rPr>
        <w:t>网站建设“老年人专区”，针对于浏览</w:t>
      </w:r>
      <w:r>
        <w:rPr>
          <w:rFonts w:hint="eastAsia" w:ascii="仿宋" w:hAnsi="仿宋" w:eastAsia="仿宋" w:cs="仿宋"/>
          <w:sz w:val="28"/>
          <w:szCs w:val="28"/>
          <w:lang w:eastAsia="zh-CN"/>
        </w:rPr>
        <w:t>网站</w:t>
      </w:r>
      <w:bookmarkStart w:id="5" w:name="_GoBack"/>
      <w:bookmarkEnd w:id="5"/>
      <w:r>
        <w:rPr>
          <w:rFonts w:hint="eastAsia" w:ascii="仿宋" w:hAnsi="仿宋" w:eastAsia="仿宋" w:cs="仿宋"/>
          <w:sz w:val="28"/>
          <w:szCs w:val="28"/>
        </w:rPr>
        <w:t>的老年人，采用大字号、大图标、高对比度、简洁扁平设计风格，简化页面操作，降低老年人阅读困难。同时优化查询和办事流程，提供主题式、套餐式的集成服务，将老年人办事常涉及的多个服务事项整合优化为“一件事”服务，为老年人提供明晰、准确的办事指南，为老年人定制多事项、多类别的便利化服务内容。</w:t>
      </w:r>
    </w:p>
    <w:p>
      <w:pPr>
        <w:spacing w:line="480" w:lineRule="auto"/>
        <w:ind w:firstLine="560" w:firstLineChars="200"/>
      </w:pPr>
      <w:r>
        <w:rPr>
          <w:rFonts w:hint="eastAsia" w:ascii="仿宋" w:hAnsi="仿宋" w:eastAsia="仿宋" w:cs="仿宋"/>
          <w:sz w:val="28"/>
          <w:szCs w:val="28"/>
        </w:rPr>
        <w:t>（3）政务新媒体矩阵综合页设计与开发。梳理省卫健委现有的微信公众号、微博、抖音等新媒体入口。设计与开发政务新媒体矩阵综合页，建立省卫健委新媒体标识、快手、抖音等新媒体标识。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modern"/>
    <w:pitch w:val="default"/>
    <w:sig w:usb0="00000000" w:usb1="00000000" w:usb2="00000016" w:usb3="00000000" w:csb0="00040001" w:csb1="00000000"/>
  </w:font>
  <w:font w:name="仿宋_GB2312">
    <w:altName w:val="方正仿宋_GBK"/>
    <w:panose1 w:val="020B0604020202020204"/>
    <w:charset w:val="00"/>
    <w:family w:val="modern"/>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89FF3EF6"/>
    <w:rsid w:val="0098616B"/>
    <w:rsid w:val="00C15169"/>
    <w:rsid w:val="00D30C45"/>
    <w:rsid w:val="00FA5DCB"/>
    <w:rsid w:val="89FF3EF6"/>
    <w:rsid w:val="E6F704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table of authorities"/>
    <w:basedOn w:val="1"/>
    <w:next w:val="1"/>
    <w:unhideWhenUsed/>
    <w:qFormat/>
    <w:uiPriority w:val="99"/>
    <w:pPr>
      <w:ind w:left="420" w:left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330</Words>
  <Characters>1885</Characters>
  <Lines>15</Lines>
  <Paragraphs>4</Paragraphs>
  <TotalTime>36</TotalTime>
  <ScaleCrop>false</ScaleCrop>
  <LinksUpToDate>false</LinksUpToDate>
  <CharactersWithSpaces>2211</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2022-08-08T17:22:00Z</dcterms:created>
  <dc:creator>WPS_1470101161</dc:creator>
  <cp:lastModifiedBy>wjw</cp:lastModifiedBy>
  <dcterms:modified xsi:type="dcterms:W3CDTF">2022-08-24T09:32:40Z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40DAEE44C10DEF2F6965F062FE579682</vt:lpwstr>
  </property>
</Properties>
</file>