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方正小标宋_GBK" w:hAnsi="宋体" w:eastAsia="方正小标宋_GBK" w:cs="宋体"/>
          <w:kern w:val="0"/>
          <w:sz w:val="36"/>
          <w:szCs w:val="36"/>
          <w:lang w:val="en-US" w:eastAsia="zh-Hans"/>
        </w:rPr>
      </w:pPr>
      <w:r>
        <w:rPr>
          <w:rFonts w:hint="eastAsia" w:ascii="宋体" w:hAnsi="宋体" w:eastAsia="宋体" w:cs="宋体"/>
          <w:b/>
          <w:bCs/>
          <w:kern w:val="0"/>
          <w:sz w:val="32"/>
          <w:szCs w:val="32"/>
          <w:lang w:val="en-US" w:eastAsia="zh-Hans"/>
        </w:rPr>
        <w:t>湖北省健康医疗大数据中心暨公共卫生应急管理平台建设项目（二期）——商用密码应用安全性评估服务采购需求</w:t>
      </w:r>
    </w:p>
    <w:p>
      <w:pPr>
        <w:pStyle w:val="3"/>
        <w:spacing w:before="120" w:after="120" w:line="360" w:lineRule="auto"/>
        <w:rPr>
          <w:rFonts w:hint="eastAsia" w:ascii="黑体" w:hAnsi="黑体" w:eastAsia="黑体" w:cs="Times New Roman"/>
          <w:b w:val="0"/>
          <w:bCs/>
          <w:color w:val="000000" w:themeColor="text1"/>
          <w:kern w:val="2"/>
          <w:sz w:val="24"/>
          <w:szCs w:val="28"/>
          <w:lang w:val="en-US" w:eastAsia="zh-CN" w:bidi="ar-SA"/>
          <w14:textFill>
            <w14:solidFill>
              <w14:schemeClr w14:val="tx1"/>
            </w14:solidFill>
          </w14:textFill>
        </w:rPr>
      </w:pPr>
      <w:r>
        <w:rPr>
          <w:rFonts w:hint="eastAsia" w:ascii="黑体" w:hAnsi="黑体" w:eastAsia="黑体"/>
          <w:bCs/>
          <w:color w:val="000000" w:themeColor="text1"/>
          <w:sz w:val="24"/>
          <w:szCs w:val="28"/>
          <w14:textFill>
            <w14:solidFill>
              <w14:schemeClr w14:val="tx1"/>
            </w14:solidFill>
          </w14:textFill>
        </w:rPr>
        <w:t>第一部分：供应商资格要求</w:t>
      </w:r>
      <w:r>
        <w:rPr>
          <w:rFonts w:hint="eastAsia" w:ascii="黑体" w:hAnsi="黑体" w:eastAsia="黑体" w:cs="Times New Roman"/>
          <w:b w:val="0"/>
          <w:bCs/>
          <w:color w:val="000000" w:themeColor="text1"/>
          <w:kern w:val="2"/>
          <w:sz w:val="24"/>
          <w:szCs w:val="28"/>
          <w:lang w:val="en-US" w:eastAsia="zh-CN" w:bidi="ar-SA"/>
          <w14:textFill>
            <w14:solidFill>
              <w14:schemeClr w14:val="tx1"/>
            </w14:solidFill>
          </w14:textFill>
        </w:rPr>
        <w:t xml:space="preserve"> </w:t>
      </w:r>
    </w:p>
    <w:p>
      <w:pPr>
        <w:spacing w:line="360" w:lineRule="auto"/>
        <w:ind w:firstLine="480" w:firstLineChars="200"/>
        <w:rPr>
          <w:rFonts w:hint="eastAsia" w:ascii="仿宋_GB2312" w:hAnsi="仿宋_GB2312" w:eastAsia="仿宋_GB2312" w:cs="仿宋_GB2312"/>
          <w:sz w:val="24"/>
        </w:rPr>
      </w:pPr>
      <w:bookmarkStart w:id="0" w:name="_Hlk480553009"/>
      <w:r>
        <w:rPr>
          <w:rFonts w:hint="eastAsia" w:ascii="仿宋_GB2312" w:hAnsi="仿宋_GB2312" w:eastAsia="仿宋_GB2312" w:cs="仿宋_GB2312"/>
          <w:sz w:val="24"/>
        </w:rPr>
        <w:t>1、投标人须符合《政府采购法》第二十二条的规定</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Times New Roman" w:eastAsia="仿宋_GB2312"/>
          <w:color w:val="000000" w:themeColor="text1"/>
          <w:sz w:val="24"/>
          <w:szCs w:val="28"/>
          <w14:textFill>
            <w14:solidFill>
              <w14:schemeClr w14:val="tx1"/>
            </w14:solidFill>
          </w14:textFill>
        </w:rPr>
        <w:t>未被列入“信用中国”或“中国政府采购网”中的失信被执行人、重大税收违法案件当事人名单、政府采购严重违法失信行为记录名单；</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3、投标人须具备省级（含）以上密码管理部门认证的商用密码应用安全性评估试点资格。</w:t>
      </w:r>
    </w:p>
    <w:p>
      <w:pPr>
        <w:pStyle w:val="30"/>
        <w:ind w:firstLine="480"/>
        <w:rPr>
          <w:rFonts w:hint="eastAsia" w:ascii="仿宋_GB2312" w:hAnsi="仿宋_GB2312" w:eastAsia="仿宋_GB2312" w:cs="仿宋_GB2312"/>
        </w:rPr>
      </w:pPr>
      <w:r>
        <w:rPr>
          <w:rFonts w:hint="eastAsia" w:ascii="仿宋_GB2312" w:hAnsi="仿宋_GB2312" w:eastAsia="仿宋_GB2312" w:cs="仿宋_GB2312"/>
          <w:szCs w:val="24"/>
        </w:rPr>
        <w:t xml:space="preserve">4、本项目不接受联合体投标。 </w:t>
      </w:r>
    </w:p>
    <w:bookmarkEnd w:id="0"/>
    <w:p>
      <w:pPr>
        <w:pStyle w:val="30"/>
        <w:ind w:firstLine="0" w:firstLineChars="0"/>
        <w:jc w:val="left"/>
      </w:pPr>
      <w:r>
        <w:rPr>
          <w:rFonts w:hint="eastAsia" w:ascii="黑体" w:hAnsi="黑体" w:eastAsia="黑体"/>
          <w:b/>
          <w:bCs w:val="0"/>
          <w:color w:val="000000" w:themeColor="text1"/>
          <w:sz w:val="24"/>
          <w:szCs w:val="28"/>
          <w14:textFill>
            <w14:solidFill>
              <w14:schemeClr w14:val="tx1"/>
            </w14:solidFill>
          </w14:textFill>
        </w:rPr>
        <w:t>第二部分：采购内容</w:t>
      </w:r>
    </w:p>
    <w:p>
      <w:pPr>
        <w:pStyle w:val="3"/>
        <w:numPr>
          <w:ilvl w:val="0"/>
          <w:numId w:val="2"/>
        </w:numPr>
        <w:spacing w:before="120" w:after="120" w:line="360" w:lineRule="auto"/>
        <w:rPr>
          <w:rFonts w:hint="eastAsia" w:ascii="黑体" w:hAnsi="黑体" w:eastAsia="黑体"/>
          <w:color w:val="000000" w:themeColor="text1"/>
          <w:sz w:val="24"/>
          <w:szCs w:val="28"/>
          <w14:textFill>
            <w14:solidFill>
              <w14:schemeClr w14:val="tx1"/>
            </w14:solidFill>
          </w14:textFill>
        </w:rPr>
      </w:pPr>
      <w:r>
        <w:rPr>
          <w:rFonts w:hint="eastAsia" w:ascii="黑体" w:hAnsi="黑体" w:eastAsia="黑体"/>
          <w:color w:val="000000" w:themeColor="text1"/>
          <w:sz w:val="24"/>
          <w:szCs w:val="28"/>
          <w14:textFill>
            <w14:solidFill>
              <w14:schemeClr w14:val="tx1"/>
            </w14:solidFill>
          </w14:textFill>
        </w:rPr>
        <w:t>采购内容：</w:t>
      </w:r>
    </w:p>
    <w:tbl>
      <w:tblPr>
        <w:tblStyle w:val="25"/>
        <w:tblpPr w:leftFromText="180" w:rightFromText="180" w:vertAnchor="text" w:horzAnchor="margin" w:tblpXSpec="center" w:tblpY="37"/>
        <w:tblW w:w="9204" w:type="dxa"/>
        <w:jc w:val="center"/>
        <w:tblBorders>
          <w:top w:val="single" w:color="auto" w:sz="8" w:space="0"/>
          <w:left w:val="single" w:color="auto" w:sz="8" w:space="0"/>
          <w:bottom w:val="single" w:color="auto" w:sz="4"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978"/>
        <w:gridCol w:w="6564"/>
        <w:gridCol w:w="852"/>
        <w:gridCol w:w="810"/>
      </w:tblGrid>
      <w:tr>
        <w:tblPrEx>
          <w:tblBorders>
            <w:top w:val="single" w:color="auto" w:sz="8" w:space="0"/>
            <w:left w:val="single" w:color="auto" w:sz="8" w:space="0"/>
            <w:bottom w:val="single" w:color="auto" w:sz="4"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48" w:hRule="atLeast"/>
          <w:jc w:val="center"/>
        </w:trPr>
        <w:tc>
          <w:tcPr>
            <w:tcW w:w="978" w:type="dxa"/>
            <w:shd w:val="clear" w:color="auto" w:fill="F2F2F2"/>
            <w:vAlign w:val="center"/>
          </w:tcPr>
          <w:p>
            <w:pPr>
              <w:adjustRightInd w:val="0"/>
              <w:snapToGrid w:val="0"/>
              <w:spacing w:line="360" w:lineRule="auto"/>
              <w:jc w:val="center"/>
              <w:rPr>
                <w:rFonts w:hint="eastAsia" w:ascii="仿宋_GB2312" w:hAnsi="Times New Roman" w:eastAsia="仿宋_GB2312" w:cs="Times New Roman"/>
                <w:sz w:val="24"/>
                <w:szCs w:val="28"/>
                <w:lang w:val="en-US" w:eastAsia="zh-CN"/>
              </w:rPr>
            </w:pPr>
            <w:r>
              <w:rPr>
                <w:rFonts w:hint="eastAsia" w:ascii="仿宋_GB2312" w:hAnsi="Times New Roman" w:eastAsia="仿宋_GB2312" w:cs="Times New Roman"/>
                <w:sz w:val="24"/>
                <w:szCs w:val="28"/>
                <w:lang w:val="en-US" w:eastAsia="zh-CN"/>
              </w:rPr>
              <w:t>序号</w:t>
            </w:r>
          </w:p>
        </w:tc>
        <w:tc>
          <w:tcPr>
            <w:tcW w:w="6564" w:type="dxa"/>
            <w:shd w:val="clear" w:color="auto" w:fill="F2F2F2"/>
            <w:vAlign w:val="center"/>
          </w:tcPr>
          <w:p>
            <w:pPr>
              <w:adjustRightInd w:val="0"/>
              <w:snapToGrid w:val="0"/>
              <w:spacing w:line="360" w:lineRule="auto"/>
              <w:jc w:val="center"/>
              <w:rPr>
                <w:rFonts w:hint="eastAsia" w:ascii="仿宋_GB2312" w:hAnsi="Times New Roman" w:eastAsia="仿宋_GB2312" w:cs="Times New Roman"/>
                <w:sz w:val="24"/>
                <w:szCs w:val="28"/>
                <w:lang w:val="en-US" w:eastAsia="zh-CN"/>
              </w:rPr>
            </w:pPr>
            <w:r>
              <w:rPr>
                <w:rFonts w:hint="eastAsia" w:ascii="仿宋_GB2312" w:hAnsi="Times New Roman" w:eastAsia="仿宋_GB2312" w:cs="Times New Roman"/>
                <w:sz w:val="24"/>
                <w:szCs w:val="28"/>
                <w:lang w:val="en-US" w:eastAsia="zh-CN"/>
              </w:rPr>
              <w:t>名称</w:t>
            </w:r>
          </w:p>
        </w:tc>
        <w:tc>
          <w:tcPr>
            <w:tcW w:w="852" w:type="dxa"/>
            <w:shd w:val="clear" w:color="auto" w:fill="F2F2F2"/>
            <w:vAlign w:val="center"/>
          </w:tcPr>
          <w:p>
            <w:pPr>
              <w:adjustRightInd w:val="0"/>
              <w:snapToGrid w:val="0"/>
              <w:jc w:val="center"/>
              <w:rPr>
                <w:rFonts w:ascii="仿宋_GB2312" w:eastAsia="仿宋_GB2312"/>
                <w:sz w:val="24"/>
                <w:szCs w:val="28"/>
              </w:rPr>
            </w:pPr>
            <w:r>
              <w:rPr>
                <w:rFonts w:hint="eastAsia" w:ascii="仿宋_GB2312" w:eastAsia="仿宋_GB2312"/>
                <w:sz w:val="24"/>
                <w:szCs w:val="28"/>
              </w:rPr>
              <w:t>数量</w:t>
            </w:r>
          </w:p>
        </w:tc>
        <w:tc>
          <w:tcPr>
            <w:tcW w:w="810" w:type="dxa"/>
            <w:shd w:val="clear" w:color="auto" w:fill="F2F2F2"/>
            <w:vAlign w:val="center"/>
          </w:tcPr>
          <w:p>
            <w:pPr>
              <w:adjustRightInd w:val="0"/>
              <w:snapToGrid w:val="0"/>
              <w:jc w:val="center"/>
              <w:rPr>
                <w:rFonts w:ascii="仿宋_GB2312" w:eastAsia="仿宋_GB2312"/>
                <w:sz w:val="24"/>
                <w:szCs w:val="28"/>
              </w:rPr>
            </w:pPr>
            <w:r>
              <w:rPr>
                <w:rFonts w:hint="eastAsia" w:ascii="仿宋_GB2312" w:eastAsia="仿宋_GB2312"/>
                <w:sz w:val="24"/>
                <w:szCs w:val="28"/>
              </w:rPr>
              <w:t>单位</w:t>
            </w:r>
          </w:p>
        </w:tc>
      </w:tr>
      <w:tr>
        <w:tblPrEx>
          <w:tblBorders>
            <w:top w:val="single" w:color="auto" w:sz="8" w:space="0"/>
            <w:left w:val="single" w:color="auto" w:sz="8" w:space="0"/>
            <w:bottom w:val="single" w:color="auto" w:sz="4"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49" w:hRule="exact"/>
          <w:jc w:val="center"/>
        </w:trPr>
        <w:tc>
          <w:tcPr>
            <w:tcW w:w="978" w:type="dxa"/>
            <w:shd w:val="clear" w:color="auto" w:fill="auto"/>
            <w:vAlign w:val="center"/>
          </w:tcPr>
          <w:p>
            <w:pPr>
              <w:adjustRightInd w:val="0"/>
              <w:snapToGrid w:val="0"/>
              <w:spacing w:line="360" w:lineRule="auto"/>
              <w:jc w:val="center"/>
              <w:rPr>
                <w:rFonts w:hint="eastAsia" w:ascii="仿宋_GB2312" w:hAnsi="Times New Roman" w:eastAsia="仿宋_GB2312" w:cs="Times New Roman"/>
                <w:sz w:val="24"/>
                <w:szCs w:val="28"/>
                <w:lang w:val="en-US" w:eastAsia="zh-CN"/>
              </w:rPr>
            </w:pPr>
            <w:r>
              <w:rPr>
                <w:rFonts w:hint="eastAsia" w:ascii="仿宋_GB2312" w:hAnsi="Times New Roman" w:eastAsia="仿宋_GB2312" w:cs="Times New Roman"/>
                <w:sz w:val="24"/>
                <w:szCs w:val="28"/>
                <w:lang w:val="en-US" w:eastAsia="zh-CN"/>
              </w:rPr>
              <w:t>1</w:t>
            </w:r>
          </w:p>
        </w:tc>
        <w:tc>
          <w:tcPr>
            <w:tcW w:w="6564" w:type="dxa"/>
            <w:shd w:val="clear" w:color="auto" w:fill="auto"/>
            <w:vAlign w:val="center"/>
          </w:tcPr>
          <w:p>
            <w:pPr>
              <w:adjustRightInd w:val="0"/>
              <w:snapToGrid w:val="0"/>
              <w:spacing w:line="360" w:lineRule="auto"/>
              <w:jc w:val="left"/>
              <w:rPr>
                <w:rFonts w:hint="eastAsia" w:ascii="仿宋_GB2312" w:hAnsi="Times New Roman" w:eastAsia="仿宋_GB2312" w:cs="Times New Roman"/>
                <w:sz w:val="24"/>
                <w:szCs w:val="28"/>
                <w:lang w:val="en-US" w:eastAsia="zh-CN"/>
              </w:rPr>
            </w:pPr>
            <w:r>
              <w:rPr>
                <w:rFonts w:hint="eastAsia" w:ascii="仿宋_GB2312" w:hAnsi="Times New Roman" w:eastAsia="仿宋_GB2312" w:cs="Times New Roman"/>
                <w:sz w:val="24"/>
                <w:szCs w:val="28"/>
                <w:lang w:val="en-US" w:eastAsia="zh-Hans"/>
              </w:rPr>
              <w:t>湖北省健康医疗大数据中心暨公共卫生应急管理平台建设项目（二期）——商用密码应用安全性评估服务</w:t>
            </w:r>
            <w:bookmarkStart w:id="6" w:name="_GoBack"/>
            <w:bookmarkEnd w:id="6"/>
            <w:r>
              <w:rPr>
                <w:rFonts w:hint="eastAsia" w:ascii="仿宋_GB2312" w:hAnsi="Times New Roman" w:eastAsia="仿宋_GB2312" w:cs="Times New Roman"/>
                <w:sz w:val="24"/>
                <w:szCs w:val="28"/>
                <w:lang w:val="en-US" w:eastAsia="zh-CN"/>
              </w:rPr>
              <w:t>采购需求</w:t>
            </w:r>
          </w:p>
        </w:tc>
        <w:tc>
          <w:tcPr>
            <w:tcW w:w="852" w:type="dxa"/>
            <w:shd w:val="clear" w:color="auto" w:fill="auto"/>
            <w:vAlign w:val="center"/>
          </w:tcPr>
          <w:p>
            <w:pPr>
              <w:adjustRightInd w:val="0"/>
              <w:snapToGrid w:val="0"/>
              <w:spacing w:line="360" w:lineRule="auto"/>
              <w:jc w:val="center"/>
              <w:rPr>
                <w:rFonts w:ascii="仿宋_GB2312" w:eastAsia="仿宋_GB2312"/>
                <w:sz w:val="24"/>
                <w:szCs w:val="28"/>
              </w:rPr>
            </w:pPr>
            <w:r>
              <w:rPr>
                <w:rFonts w:hint="eastAsia" w:ascii="仿宋_GB2312" w:eastAsia="仿宋_GB2312"/>
                <w:sz w:val="24"/>
                <w:szCs w:val="28"/>
              </w:rPr>
              <w:t>1</w:t>
            </w:r>
          </w:p>
        </w:tc>
        <w:tc>
          <w:tcPr>
            <w:tcW w:w="810" w:type="dxa"/>
            <w:shd w:val="clear" w:color="auto" w:fill="auto"/>
            <w:vAlign w:val="center"/>
          </w:tcPr>
          <w:p>
            <w:pPr>
              <w:adjustRightInd w:val="0"/>
              <w:snapToGrid w:val="0"/>
              <w:spacing w:line="360" w:lineRule="auto"/>
              <w:jc w:val="center"/>
              <w:rPr>
                <w:rFonts w:ascii="仿宋_GB2312" w:eastAsia="仿宋_GB2312"/>
                <w:sz w:val="24"/>
                <w:szCs w:val="28"/>
              </w:rPr>
            </w:pPr>
            <w:r>
              <w:rPr>
                <w:rFonts w:hint="eastAsia" w:ascii="仿宋_GB2312" w:eastAsia="仿宋_GB2312"/>
                <w:sz w:val="24"/>
                <w:szCs w:val="28"/>
              </w:rPr>
              <w:t>项</w:t>
            </w:r>
          </w:p>
        </w:tc>
      </w:tr>
    </w:tbl>
    <w:p>
      <w:pPr>
        <w:keepNext w:val="0"/>
        <w:keepLines w:val="0"/>
        <w:pageBreakBefore w:val="0"/>
        <w:kinsoku/>
        <w:wordWrap/>
        <w:overflowPunct/>
        <w:topLinePunct w:val="0"/>
        <w:autoSpaceDE/>
        <w:autoSpaceDN/>
        <w:bidi w:val="0"/>
        <w:adjustRightInd w:val="0"/>
        <w:snapToGrid w:val="0"/>
        <w:spacing w:before="312" w:beforeLines="100" w:line="360" w:lineRule="auto"/>
        <w:ind w:left="0" w:leftChars="0" w:firstLine="0" w:firstLineChars="0"/>
        <w:jc w:val="both"/>
        <w:textAlignment w:val="auto"/>
        <w:outlineLvl w:val="1"/>
        <w:rPr>
          <w:rFonts w:ascii="黑体" w:hAnsi="黑体" w:eastAsia="黑体"/>
          <w:color w:val="000000" w:themeColor="text1"/>
          <w:sz w:val="24"/>
          <w:szCs w:val="28"/>
          <w14:textFill>
            <w14:solidFill>
              <w14:schemeClr w14:val="tx1"/>
            </w14:solidFill>
          </w14:textFill>
        </w:rPr>
      </w:pPr>
      <w:r>
        <w:rPr>
          <w:rFonts w:hint="eastAsia" w:ascii="黑体" w:hAnsi="黑体" w:eastAsia="黑体"/>
          <w:color w:val="000000" w:themeColor="text1"/>
          <w:sz w:val="24"/>
          <w:szCs w:val="28"/>
          <w14:textFill>
            <w14:solidFill>
              <w14:schemeClr w14:val="tx1"/>
            </w14:solidFill>
          </w14:textFill>
        </w:rPr>
        <w:t>二、</w:t>
      </w:r>
      <w:r>
        <w:rPr>
          <w:rFonts w:hint="eastAsia" w:ascii="黑体" w:hAnsi="黑体" w:eastAsia="黑体"/>
          <w:b/>
          <w:bCs/>
          <w:color w:val="000000" w:themeColor="text1"/>
          <w:sz w:val="24"/>
          <w:szCs w:val="28"/>
          <w14:textFill>
            <w14:solidFill>
              <w14:schemeClr w14:val="tx1"/>
            </w14:solidFill>
          </w14:textFill>
        </w:rPr>
        <w:t>采购预算</w:t>
      </w:r>
      <w:r>
        <w:rPr>
          <w:rFonts w:hint="eastAsia" w:ascii="黑体" w:hAnsi="黑体" w:eastAsia="黑体"/>
          <w:color w:val="000000" w:themeColor="text1"/>
          <w:sz w:val="24"/>
          <w:szCs w:val="28"/>
          <w14:textFill>
            <w14:solidFill>
              <w14:schemeClr w14:val="tx1"/>
            </w14:solidFill>
          </w14:textFill>
        </w:rPr>
        <w:t>：</w:t>
      </w:r>
      <w:r>
        <w:rPr>
          <w:rFonts w:hint="eastAsia" w:ascii="黑体" w:hAnsi="黑体" w:eastAsia="黑体"/>
          <w:color w:val="000000" w:themeColor="text1"/>
          <w:sz w:val="24"/>
          <w:szCs w:val="28"/>
          <w:lang w:val="en-US" w:eastAsia="zh-CN"/>
          <w14:textFill>
            <w14:solidFill>
              <w14:schemeClr w14:val="tx1"/>
            </w14:solidFill>
          </w14:textFill>
        </w:rPr>
        <w:t>115</w:t>
      </w:r>
      <w:r>
        <w:rPr>
          <w:rFonts w:hint="eastAsia" w:ascii="仿宋_GB2312" w:hAnsi="Times New Roman" w:eastAsia="仿宋_GB2312"/>
          <w:color w:val="000000" w:themeColor="text1"/>
          <w:sz w:val="24"/>
          <w:szCs w:val="28"/>
          <w14:textFill>
            <w14:solidFill>
              <w14:schemeClr w14:val="tx1"/>
            </w14:solidFill>
          </w14:textFill>
        </w:rPr>
        <w:t>万元。</w:t>
      </w:r>
      <w:r>
        <w:rPr>
          <w:rFonts w:hint="eastAsia" w:ascii="黑体" w:hAnsi="黑体" w:eastAsia="黑体"/>
          <w:color w:val="000000" w:themeColor="text1"/>
          <w:sz w:val="24"/>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黑体" w:hAnsi="黑体" w:eastAsia="黑体"/>
          <w:color w:val="000000" w:themeColor="text1"/>
          <w:sz w:val="24"/>
          <w:szCs w:val="28"/>
          <w:lang w:eastAsia="zh-CN"/>
          <w14:textFill>
            <w14:solidFill>
              <w14:schemeClr w14:val="tx1"/>
            </w14:solidFill>
          </w14:textFill>
        </w:rPr>
      </w:pPr>
      <w:r>
        <w:rPr>
          <w:rFonts w:hint="eastAsia" w:ascii="黑体" w:hAnsi="黑体" w:eastAsia="黑体"/>
          <w:color w:val="000000" w:themeColor="text1"/>
          <w:sz w:val="24"/>
          <w:szCs w:val="28"/>
          <w14:textFill>
            <w14:solidFill>
              <w14:schemeClr w14:val="tx1"/>
            </w14:solidFill>
          </w14:textFill>
        </w:rPr>
        <w:t>三、</w:t>
      </w:r>
      <w:r>
        <w:rPr>
          <w:rFonts w:hint="eastAsia" w:ascii="黑体" w:hAnsi="黑体" w:eastAsia="黑体"/>
          <w:b/>
          <w:bCs/>
          <w:color w:val="000000" w:themeColor="text1"/>
          <w:sz w:val="24"/>
          <w:szCs w:val="28"/>
          <w14:textFill>
            <w14:solidFill>
              <w14:schemeClr w14:val="tx1"/>
            </w14:solidFill>
          </w14:textFill>
        </w:rPr>
        <w:t>交付时间、地点</w:t>
      </w:r>
      <w:r>
        <w:rPr>
          <w:rFonts w:hint="eastAsia" w:ascii="黑体" w:hAnsi="黑体" w:eastAsia="黑体"/>
          <w:b/>
          <w:bCs/>
          <w:color w:val="000000" w:themeColor="text1"/>
          <w:sz w:val="24"/>
          <w:szCs w:val="28"/>
          <w:lang w:eastAsia="zh-CN"/>
          <w14:textFill>
            <w14:solidFill>
              <w14:schemeClr w14:val="tx1"/>
            </w14:solidFill>
          </w14:textFill>
        </w:rPr>
        <w:t>、</w:t>
      </w:r>
      <w:r>
        <w:rPr>
          <w:rFonts w:hint="eastAsia" w:ascii="黑体" w:hAnsi="黑体" w:eastAsia="黑体"/>
          <w:b/>
          <w:bCs/>
          <w:color w:val="000000" w:themeColor="text1"/>
          <w:sz w:val="24"/>
          <w:szCs w:val="28"/>
          <w14:textFill>
            <w14:solidFill>
              <w14:schemeClr w14:val="tx1"/>
            </w14:solidFill>
          </w14:textFill>
        </w:rPr>
        <w:t>对象及标准</w:t>
      </w:r>
    </w:p>
    <w:p>
      <w:pPr>
        <w:spacing w:line="360" w:lineRule="auto"/>
        <w:ind w:left="0" w:leftChars="0" w:firstLine="0" w:firstLineChars="0"/>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3.1交付时间：合同签订生效、具备进场条件后160个工作日内完成</w:t>
      </w:r>
    </w:p>
    <w:p>
      <w:pPr>
        <w:spacing w:line="360" w:lineRule="auto"/>
        <w:ind w:left="0" w:leftChars="0" w:firstLine="0" w:firstLineChars="0"/>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3.2交付地点：采购人指定地点。</w:t>
      </w:r>
    </w:p>
    <w:p>
      <w:pPr>
        <w:spacing w:line="360" w:lineRule="auto"/>
        <w:ind w:left="0" w:leftChars="0" w:firstLine="0" w:firstLineChars="0"/>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3.</w:t>
      </w:r>
      <w:r>
        <w:rPr>
          <w:rFonts w:hint="eastAsia" w:ascii="仿宋_GB2312" w:hAnsi="Times New Roman" w:eastAsia="仿宋_GB2312"/>
          <w:color w:val="000000" w:themeColor="text1"/>
          <w:sz w:val="24"/>
          <w:szCs w:val="28"/>
          <w:lang w:val="en-US" w:eastAsia="zh-CN"/>
          <w14:textFill>
            <w14:solidFill>
              <w14:schemeClr w14:val="tx1"/>
            </w14:solidFill>
          </w14:textFill>
        </w:rPr>
        <w:t>3</w:t>
      </w:r>
      <w:r>
        <w:rPr>
          <w:rFonts w:hint="eastAsia" w:ascii="仿宋_GB2312" w:hAnsi="Times New Roman" w:eastAsia="仿宋_GB2312"/>
          <w:color w:val="000000" w:themeColor="text1"/>
          <w:sz w:val="24"/>
          <w:szCs w:val="28"/>
          <w14:textFill>
            <w14:solidFill>
              <w14:schemeClr w14:val="tx1"/>
            </w14:solidFill>
          </w14:textFill>
        </w:rPr>
        <w:t xml:space="preserve">测评对象及标准：测评对象参见《密评服务清单》，按照第三级技术标准开展商用密码应用安全性评估。 </w:t>
      </w:r>
    </w:p>
    <w:p>
      <w:pPr>
        <w:pStyle w:val="30"/>
        <w:ind w:left="0" w:leftChars="0" w:firstLine="0" w:firstLineChars="0"/>
        <w:jc w:val="left"/>
        <w:rPr>
          <w:rFonts w:hint="eastAsia"/>
        </w:rPr>
      </w:pPr>
      <w:r>
        <w:rPr>
          <w:rFonts w:hint="eastAsia" w:ascii="黑体" w:hAnsi="黑体" w:eastAsia="黑体"/>
          <w:color w:val="000000" w:themeColor="text1"/>
          <w:sz w:val="24"/>
          <w:szCs w:val="28"/>
          <w14:textFill>
            <w14:solidFill>
              <w14:schemeClr w14:val="tx1"/>
            </w14:solidFill>
          </w14:textFill>
        </w:rPr>
        <w:t>四、采购内容及要求</w:t>
      </w:r>
    </w:p>
    <w:p>
      <w:pPr>
        <w:pStyle w:val="3"/>
        <w:spacing w:before="120" w:after="120" w:line="360" w:lineRule="auto"/>
        <w:rPr>
          <w:rFonts w:hint="eastAsia" w:ascii="黑体" w:hAnsi="黑体" w:eastAsia="黑体" w:cs="Times New Roman"/>
          <w:b w:val="0"/>
          <w:bCs/>
          <w:color w:val="000000" w:themeColor="text1"/>
          <w:kern w:val="2"/>
          <w:sz w:val="24"/>
          <w:szCs w:val="28"/>
          <w:lang w:val="en-US" w:eastAsia="zh-CN" w:bidi="ar-SA"/>
          <w14:textFill>
            <w14:solidFill>
              <w14:schemeClr w14:val="tx1"/>
            </w14:solidFill>
          </w14:textFill>
        </w:rPr>
      </w:pPr>
      <w:bookmarkStart w:id="1" w:name="_Toc67669018"/>
      <w:bookmarkStart w:id="2" w:name="_Toc68095166"/>
      <w:r>
        <w:rPr>
          <w:rFonts w:hint="eastAsia" w:ascii="黑体" w:hAnsi="黑体" w:eastAsia="黑体" w:cs="Times New Roman"/>
          <w:b w:val="0"/>
          <w:bCs/>
          <w:color w:val="000000" w:themeColor="text1"/>
          <w:kern w:val="2"/>
          <w:sz w:val="24"/>
          <w:szCs w:val="28"/>
          <w:lang w:val="en-US" w:eastAsia="zh-CN" w:bidi="ar-SA"/>
          <w14:textFill>
            <w14:solidFill>
              <w14:schemeClr w14:val="tx1"/>
            </w14:solidFill>
          </w14:textFill>
        </w:rPr>
        <w:t>4.1</w:t>
      </w:r>
      <w:r>
        <w:rPr>
          <w:rFonts w:hint="eastAsia" w:ascii="黑体" w:hAnsi="黑体" w:eastAsia="黑体" w:cs="黑体"/>
          <w:b/>
          <w:bCs/>
          <w:kern w:val="2"/>
          <w:sz w:val="24"/>
          <w:szCs w:val="24"/>
          <w:lang w:val="en-US" w:eastAsia="zh-CN" w:bidi="ar-SA"/>
        </w:rPr>
        <w:t>密评</w:t>
      </w:r>
      <w:bookmarkEnd w:id="1"/>
      <w:bookmarkEnd w:id="2"/>
      <w:r>
        <w:rPr>
          <w:rFonts w:hint="eastAsia" w:ascii="黑体" w:hAnsi="黑体" w:eastAsia="黑体" w:cs="黑体"/>
          <w:b/>
          <w:bCs/>
          <w:kern w:val="2"/>
          <w:sz w:val="24"/>
          <w:szCs w:val="24"/>
          <w:lang w:val="en-US" w:eastAsia="zh-CN" w:bidi="ar-SA"/>
        </w:rPr>
        <w:t>服务清单</w:t>
      </w:r>
      <w:r>
        <w:rPr>
          <w:rFonts w:hint="eastAsia" w:ascii="黑体" w:hAnsi="黑体" w:eastAsia="黑体" w:cs="Times New Roman"/>
          <w:b w:val="0"/>
          <w:bCs/>
          <w:color w:val="000000" w:themeColor="text1"/>
          <w:kern w:val="2"/>
          <w:sz w:val="24"/>
          <w:szCs w:val="28"/>
          <w:lang w:val="en-US" w:eastAsia="zh-CN" w:bidi="ar-SA"/>
          <w14:textFill>
            <w14:solidFill>
              <w14:schemeClr w14:val="tx1"/>
            </w14:solidFill>
          </w14:textFill>
        </w:rPr>
        <w:t xml:space="preserve"> </w:t>
      </w:r>
    </w:p>
    <w:tbl>
      <w:tblPr>
        <w:tblStyle w:val="25"/>
        <w:tblW w:w="8453"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729"/>
        <w:gridCol w:w="5436"/>
        <w:gridCol w:w="228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80" w:hRule="atLeast"/>
          <w:jc w:val="center"/>
        </w:trPr>
        <w:tc>
          <w:tcPr>
            <w:tcW w:w="729" w:type="dxa"/>
            <w:tcBorders>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kern w:val="0"/>
                <w:sz w:val="24"/>
              </w:rPr>
              <w:t>序号</w:t>
            </w:r>
          </w:p>
        </w:tc>
        <w:tc>
          <w:tcPr>
            <w:tcW w:w="5436"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kern w:val="0"/>
                <w:sz w:val="24"/>
              </w:rPr>
              <w:t>系统名称</w:t>
            </w:r>
          </w:p>
        </w:tc>
        <w:tc>
          <w:tcPr>
            <w:tcW w:w="2288" w:type="dxa"/>
            <w:tcBorders>
              <w:left w:val="single" w:color="000000" w:sz="4" w:space="0"/>
              <w:bottom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kern w:val="0"/>
                <w:sz w:val="24"/>
              </w:rPr>
              <w:t>级别</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kern w:val="0"/>
                <w:sz w:val="22"/>
                <w:szCs w:val="22"/>
                <w:lang w:bidi="ar"/>
              </w:rPr>
              <w:t>1</w:t>
            </w:r>
          </w:p>
        </w:tc>
        <w:tc>
          <w:tcPr>
            <w:tcW w:w="5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both"/>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湖北省</w:t>
            </w:r>
            <w:r>
              <w:rPr>
                <w:rFonts w:hint="eastAsia" w:ascii="仿宋_GB2312" w:hAnsi="仿宋_GB2312" w:eastAsia="仿宋_GB2312" w:cs="仿宋_GB2312"/>
                <w:b w:val="0"/>
                <w:bCs/>
                <w:color w:val="000000"/>
                <w:sz w:val="24"/>
              </w:rPr>
              <w:t>公共卫生应急决策指挥系统</w:t>
            </w:r>
          </w:p>
        </w:tc>
        <w:tc>
          <w:tcPr>
            <w:tcW w:w="2288" w:type="dxa"/>
            <w:tcBorders>
              <w:top w:val="single" w:color="000000" w:sz="4" w:space="0"/>
              <w:left w:val="single" w:color="000000" w:sz="4" w:space="0"/>
            </w:tcBorders>
            <w:shd w:val="clear" w:color="auto" w:fill="auto"/>
            <w:tcMar>
              <w:top w:w="15" w:type="dxa"/>
              <w:left w:w="15" w:type="dxa"/>
              <w:right w:w="15" w:type="dxa"/>
            </w:tcMar>
            <w:vAlign w:val="center"/>
          </w:tcPr>
          <w:p>
            <w:pPr>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kern w:val="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2</w:t>
            </w:r>
          </w:p>
        </w:tc>
        <w:tc>
          <w:tcPr>
            <w:tcW w:w="543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both"/>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湖北</w:t>
            </w:r>
            <w:r>
              <w:rPr>
                <w:rFonts w:hint="eastAsia" w:ascii="仿宋_GB2312" w:hAnsi="仿宋_GB2312" w:eastAsia="仿宋_GB2312" w:cs="仿宋_GB2312"/>
                <w:b w:val="0"/>
                <w:bCs/>
                <w:color w:val="000000"/>
                <w:sz w:val="24"/>
                <w:lang w:val="en-US" w:eastAsia="zh-CN"/>
              </w:rPr>
              <w:t>省</w:t>
            </w:r>
            <w:r>
              <w:rPr>
                <w:rFonts w:hint="eastAsia" w:ascii="仿宋_GB2312" w:hAnsi="仿宋_GB2312" w:eastAsia="仿宋_GB2312" w:cs="仿宋_GB2312"/>
                <w:b w:val="0"/>
                <w:bCs/>
                <w:color w:val="000000"/>
                <w:sz w:val="24"/>
              </w:rPr>
              <w:t>疾病预防控制管理信息系统</w:t>
            </w:r>
          </w:p>
        </w:tc>
        <w:tc>
          <w:tcPr>
            <w:tcW w:w="2288" w:type="dxa"/>
            <w:tcBorders>
              <w:top w:val="single" w:color="000000" w:sz="4" w:space="0"/>
              <w:lef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3</w:t>
            </w:r>
          </w:p>
        </w:tc>
        <w:tc>
          <w:tcPr>
            <w:tcW w:w="5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both"/>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湖北省</w:t>
            </w:r>
            <w:r>
              <w:rPr>
                <w:rFonts w:hint="eastAsia" w:ascii="仿宋_GB2312" w:hAnsi="仿宋_GB2312" w:eastAsia="仿宋_GB2312" w:cs="仿宋_GB2312"/>
                <w:b w:val="0"/>
                <w:bCs/>
                <w:color w:val="000000"/>
                <w:sz w:val="24"/>
              </w:rPr>
              <w:t>12320卫生热线系统</w:t>
            </w:r>
          </w:p>
        </w:tc>
        <w:tc>
          <w:tcPr>
            <w:tcW w:w="2288" w:type="dxa"/>
            <w:tcBorders>
              <w:top w:val="single" w:color="000000" w:sz="4" w:space="0"/>
              <w:lef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4</w:t>
            </w:r>
          </w:p>
        </w:tc>
        <w:tc>
          <w:tcPr>
            <w:tcW w:w="5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both"/>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湖北省</w:t>
            </w:r>
            <w:r>
              <w:rPr>
                <w:rFonts w:hint="eastAsia" w:ascii="仿宋_GB2312" w:hAnsi="仿宋_GB2312" w:eastAsia="仿宋_GB2312" w:cs="仿宋_GB2312"/>
                <w:b w:val="0"/>
                <w:bCs/>
                <w:color w:val="000000"/>
                <w:sz w:val="24"/>
              </w:rPr>
              <w:t>卫生监督在线监测与监管系统</w:t>
            </w:r>
          </w:p>
        </w:tc>
        <w:tc>
          <w:tcPr>
            <w:tcW w:w="2288" w:type="dxa"/>
            <w:tcBorders>
              <w:top w:val="single" w:color="000000" w:sz="4" w:space="0"/>
              <w:lef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5</w:t>
            </w:r>
          </w:p>
        </w:tc>
        <w:tc>
          <w:tcPr>
            <w:tcW w:w="5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both"/>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湖北省</w:t>
            </w:r>
            <w:r>
              <w:rPr>
                <w:rFonts w:hint="eastAsia" w:ascii="仿宋_GB2312" w:hAnsi="仿宋_GB2312" w:eastAsia="仿宋_GB2312" w:cs="仿宋_GB2312"/>
                <w:b w:val="0"/>
                <w:bCs/>
                <w:color w:val="000000"/>
                <w:sz w:val="24"/>
              </w:rPr>
              <w:t>基本公共卫生服务综合管理系统</w:t>
            </w:r>
          </w:p>
        </w:tc>
        <w:tc>
          <w:tcPr>
            <w:tcW w:w="2288" w:type="dxa"/>
            <w:tcBorders>
              <w:top w:val="single" w:color="000000" w:sz="4" w:space="0"/>
              <w:lef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6</w:t>
            </w:r>
          </w:p>
        </w:tc>
        <w:tc>
          <w:tcPr>
            <w:tcW w:w="543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both"/>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湖北省</w:t>
            </w:r>
            <w:r>
              <w:rPr>
                <w:rFonts w:hint="eastAsia" w:ascii="仿宋_GB2312" w:hAnsi="仿宋_GB2312" w:eastAsia="仿宋_GB2312" w:cs="仿宋_GB2312"/>
                <w:b w:val="0"/>
                <w:bCs/>
                <w:color w:val="000000"/>
                <w:sz w:val="24"/>
              </w:rPr>
              <w:t>卫生健康基础资源综合管理系统</w:t>
            </w:r>
          </w:p>
        </w:tc>
        <w:tc>
          <w:tcPr>
            <w:tcW w:w="2288" w:type="dxa"/>
            <w:tcBorders>
              <w:top w:val="single" w:color="000000" w:sz="4" w:space="0"/>
              <w:lef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7</w:t>
            </w:r>
          </w:p>
        </w:tc>
        <w:tc>
          <w:tcPr>
            <w:tcW w:w="543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360" w:lineRule="auto"/>
              <w:jc w:val="both"/>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湖北省</w:t>
            </w:r>
            <w:r>
              <w:rPr>
                <w:rFonts w:hint="eastAsia" w:ascii="仿宋_GB2312" w:hAnsi="仿宋_GB2312" w:eastAsia="仿宋_GB2312" w:cs="仿宋_GB2312"/>
                <w:b w:val="0"/>
                <w:bCs/>
                <w:color w:val="000000"/>
                <w:sz w:val="24"/>
              </w:rPr>
              <w:t>医疗救治服务及能力评价系统</w:t>
            </w:r>
          </w:p>
        </w:tc>
        <w:tc>
          <w:tcPr>
            <w:tcW w:w="2288" w:type="dxa"/>
            <w:tcBorders>
              <w:top w:val="single" w:color="000000" w:sz="4" w:space="0"/>
              <w:lef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8</w:t>
            </w:r>
          </w:p>
        </w:tc>
        <w:tc>
          <w:tcPr>
            <w:tcW w:w="543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湖北省</w:t>
            </w:r>
            <w:r>
              <w:rPr>
                <w:rFonts w:hint="eastAsia" w:ascii="仿宋_GB2312" w:hAnsi="仿宋_GB2312" w:eastAsia="仿宋_GB2312" w:cs="仿宋_GB2312"/>
                <w:b w:val="0"/>
                <w:bCs/>
                <w:color w:val="000000"/>
                <w:sz w:val="24"/>
              </w:rPr>
              <w:t>健康医疗大数据中心及应用支撑</w:t>
            </w:r>
            <w:r>
              <w:rPr>
                <w:rFonts w:hint="eastAsia" w:ascii="仿宋_GB2312" w:hAnsi="仿宋_GB2312" w:eastAsia="仿宋_GB2312" w:cs="仿宋_GB2312"/>
                <w:b w:val="0"/>
                <w:bCs/>
                <w:color w:val="000000"/>
                <w:sz w:val="24"/>
                <w:lang w:val="en-US" w:eastAsia="zh-CN"/>
              </w:rPr>
              <w:t>系统</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（湖北省全民健康信息平台）</w:t>
            </w:r>
          </w:p>
        </w:tc>
        <w:tc>
          <w:tcPr>
            <w:tcW w:w="2288" w:type="dxa"/>
            <w:tcBorders>
              <w:top w:val="single" w:color="000000" w:sz="4" w:space="0"/>
              <w:lef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9</w:t>
            </w:r>
          </w:p>
        </w:tc>
        <w:tc>
          <w:tcPr>
            <w:tcW w:w="543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360" w:lineRule="auto"/>
              <w:jc w:val="both"/>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lang w:val="en-US" w:eastAsia="zh-CN"/>
              </w:rPr>
              <w:t>湖北省</w:t>
            </w:r>
            <w:r>
              <w:rPr>
                <w:rFonts w:hint="eastAsia" w:ascii="仿宋_GB2312" w:hAnsi="仿宋_GB2312" w:eastAsia="仿宋_GB2312" w:cs="仿宋_GB2312"/>
                <w:b w:val="0"/>
                <w:bCs/>
                <w:color w:val="000000"/>
                <w:sz w:val="24"/>
              </w:rPr>
              <w:t>“323”专病防治应用</w:t>
            </w:r>
            <w:r>
              <w:rPr>
                <w:rFonts w:hint="eastAsia" w:ascii="仿宋_GB2312" w:hAnsi="仿宋_GB2312" w:eastAsia="仿宋_GB2312" w:cs="仿宋_GB2312"/>
                <w:b w:val="0"/>
                <w:bCs/>
                <w:color w:val="000000"/>
                <w:sz w:val="24"/>
                <w:lang w:val="en-US" w:eastAsia="zh-CN"/>
              </w:rPr>
              <w:t>信息</w:t>
            </w:r>
            <w:r>
              <w:rPr>
                <w:rFonts w:hint="eastAsia" w:ascii="仿宋_GB2312" w:hAnsi="仿宋_GB2312" w:eastAsia="仿宋_GB2312" w:cs="仿宋_GB2312"/>
                <w:b w:val="0"/>
                <w:bCs/>
                <w:color w:val="000000"/>
                <w:sz w:val="24"/>
              </w:rPr>
              <w:t>系统</w:t>
            </w:r>
          </w:p>
        </w:tc>
        <w:tc>
          <w:tcPr>
            <w:tcW w:w="2288" w:type="dxa"/>
            <w:tcBorders>
              <w:top w:val="single" w:color="000000" w:sz="4" w:space="0"/>
              <w:lef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w:t>
            </w:r>
          </w:p>
        </w:tc>
        <w:tc>
          <w:tcPr>
            <w:tcW w:w="5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both"/>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湖北省卫生健康综合统计信息平台</w:t>
            </w:r>
          </w:p>
        </w:tc>
        <w:tc>
          <w:tcPr>
            <w:tcW w:w="228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11</w:t>
            </w:r>
          </w:p>
        </w:tc>
        <w:tc>
          <w:tcPr>
            <w:tcW w:w="5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both"/>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湖北省医疗服务智能监管系统</w:t>
            </w:r>
          </w:p>
        </w:tc>
        <w:tc>
          <w:tcPr>
            <w:tcW w:w="228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12</w:t>
            </w:r>
          </w:p>
        </w:tc>
        <w:tc>
          <w:tcPr>
            <w:tcW w:w="5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both"/>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湖北省血液管理信息系统</w:t>
            </w:r>
          </w:p>
        </w:tc>
        <w:tc>
          <w:tcPr>
            <w:tcW w:w="228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13</w:t>
            </w:r>
          </w:p>
        </w:tc>
        <w:tc>
          <w:tcPr>
            <w:tcW w:w="5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both"/>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湖北省人口计生信息系统</w:t>
            </w:r>
          </w:p>
        </w:tc>
        <w:tc>
          <w:tcPr>
            <w:tcW w:w="228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14</w:t>
            </w:r>
          </w:p>
        </w:tc>
        <w:tc>
          <w:tcPr>
            <w:tcW w:w="5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both"/>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湖北省卫生健康委政务办公系统</w:t>
            </w:r>
          </w:p>
        </w:tc>
        <w:tc>
          <w:tcPr>
            <w:tcW w:w="228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jc w:val="center"/>
        </w:trPr>
        <w:tc>
          <w:tcPr>
            <w:tcW w:w="729" w:type="dxa"/>
            <w:tcBorders>
              <w:top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15</w:t>
            </w:r>
          </w:p>
        </w:tc>
        <w:tc>
          <w:tcPr>
            <w:tcW w:w="543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360" w:lineRule="auto"/>
              <w:jc w:val="both"/>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湖北省卫生健康委门户网站</w:t>
            </w:r>
          </w:p>
        </w:tc>
        <w:tc>
          <w:tcPr>
            <w:tcW w:w="2288" w:type="dxa"/>
            <w:tcBorders>
              <w:top w:val="single" w:color="000000" w:sz="4" w:space="0"/>
              <w:lef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三级</w:t>
            </w:r>
          </w:p>
        </w:tc>
      </w:tr>
    </w:tbl>
    <w:p>
      <w:pPr>
        <w:pStyle w:val="35"/>
        <w:spacing w:line="360" w:lineRule="auto"/>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备注：密评报告与等保备案证明一一对应，其数量根据等级保护备案证明数量确定。</w:t>
      </w:r>
    </w:p>
    <w:p>
      <w:pPr>
        <w:pStyle w:val="3"/>
        <w:spacing w:before="120" w:after="120" w:line="360" w:lineRule="auto"/>
        <w:rPr>
          <w:rFonts w:hint="eastAsia" w:ascii="黑体" w:hAnsi="黑体" w:eastAsia="黑体" w:cs="Times New Roman"/>
          <w:b/>
          <w:bCs w:val="0"/>
          <w:color w:val="000000" w:themeColor="text1"/>
          <w:kern w:val="2"/>
          <w:sz w:val="24"/>
          <w:szCs w:val="28"/>
          <w:lang w:val="en-US" w:eastAsia="zh-CN" w:bidi="ar-SA"/>
          <w14:textFill>
            <w14:solidFill>
              <w14:schemeClr w14:val="tx1"/>
            </w14:solidFill>
          </w14:textFill>
        </w:rPr>
      </w:pPr>
      <w:r>
        <w:rPr>
          <w:rFonts w:hint="eastAsia" w:ascii="黑体" w:hAnsi="黑体" w:eastAsia="黑体" w:cs="Times New Roman"/>
          <w:b/>
          <w:bCs w:val="0"/>
          <w:color w:val="000000" w:themeColor="text1"/>
          <w:kern w:val="2"/>
          <w:sz w:val="24"/>
          <w:szCs w:val="28"/>
          <w:lang w:val="en-US" w:eastAsia="zh-CN" w:bidi="ar-SA"/>
          <w14:textFill>
            <w14:solidFill>
              <w14:schemeClr w14:val="tx1"/>
            </w14:solidFill>
          </w14:textFill>
        </w:rPr>
        <w:t xml:space="preserve">4.2、项目概况 </w:t>
      </w:r>
    </w:p>
    <w:p>
      <w:pPr>
        <w:pStyle w:val="2"/>
        <w:spacing w:before="0" w:after="0" w:line="360" w:lineRule="auto"/>
        <w:rPr>
          <w:rFonts w:hint="eastAsia" w:ascii="黑体" w:hAnsi="黑体" w:eastAsia="黑体" w:cs="黑体"/>
          <w:sz w:val="24"/>
          <w:szCs w:val="24"/>
        </w:rPr>
      </w:pPr>
      <w:r>
        <w:rPr>
          <w:rFonts w:hint="eastAsia" w:ascii="黑体" w:hAnsi="黑体" w:eastAsia="黑体" w:cs="黑体"/>
          <w:sz w:val="24"/>
          <w:szCs w:val="24"/>
        </w:rPr>
        <w:t>4.</w:t>
      </w:r>
      <w:r>
        <w:rPr>
          <w:rFonts w:hint="eastAsia" w:ascii="黑体" w:hAnsi="黑体" w:eastAsia="黑体" w:cs="黑体"/>
          <w:sz w:val="24"/>
          <w:szCs w:val="24"/>
          <w:lang w:val="en-US" w:eastAsia="zh-CN"/>
        </w:rPr>
        <w:t>2.1</w:t>
      </w:r>
      <w:r>
        <w:rPr>
          <w:rFonts w:hint="eastAsia" w:ascii="黑体" w:hAnsi="黑体" w:eastAsia="黑体" w:cs="黑体"/>
          <w:sz w:val="24"/>
          <w:szCs w:val="24"/>
        </w:rPr>
        <w:t xml:space="preserve"> 项目背景 </w:t>
      </w:r>
    </w:p>
    <w:p>
      <w:pPr>
        <w:pStyle w:val="35"/>
        <w:spacing w:line="360" w:lineRule="auto"/>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2016年国务院发布的《健康中国2030规划纲要》明确提出：推进健康中国建设，是全面建成小康社会、基本实现社会主义现代化的重要基础，是全面提升中华民族健康素质、实现人民健康与经济社会协调发展的国家战略。“共建共享、全民健康”是建设健康中国的战略主题。随着以人民健康为中心的“大健康”、“大卫生”观念的形成与发展，人口健康工作面临的内、外环境发生了巨大的变化，卫生与健康信息化建设作为深化我国医药卫生体制改革，提升卫生计生与健康服务质量和效率的有力手段在推进健康中国建设，实现全民健康战略目标的进程中具有十分重要的作用和地位，“互联网+健康”已成为促进经济与社会发展的创新驱动力，也是深入发展卫生计生事业和大健康的必需选项。</w:t>
      </w:r>
    </w:p>
    <w:p>
      <w:pPr>
        <w:pStyle w:val="35"/>
        <w:spacing w:line="360" w:lineRule="auto"/>
        <w:ind w:firstLine="480" w:firstLineChars="200"/>
        <w:jc w:val="both"/>
        <w:rPr>
          <w:rFonts w:cs="宋体"/>
          <w:color w:val="000000"/>
        </w:rPr>
      </w:pPr>
      <w:r>
        <w:rPr>
          <w:rFonts w:hint="eastAsia" w:ascii="仿宋_GB2312" w:hAnsi="仿宋_GB2312" w:eastAsia="仿宋_GB2312" w:cs="仿宋_GB2312"/>
          <w:color w:val="000000"/>
        </w:rPr>
        <w:t>为贯彻落实</w:t>
      </w:r>
      <w:r>
        <w:rPr>
          <w:rFonts w:hint="eastAsia" w:ascii="仿宋_GB2312" w:hAnsi="仿宋_GB2312" w:eastAsia="仿宋_GB2312" w:cs="仿宋_GB2312"/>
          <w:color w:val="000000"/>
          <w:lang w:val="zh-CN"/>
        </w:rPr>
        <w:t>《</w:t>
      </w:r>
      <w:r>
        <w:rPr>
          <w:rFonts w:hint="eastAsia" w:ascii="仿宋_GB2312" w:hAnsi="仿宋_GB2312" w:eastAsia="仿宋_GB2312" w:cs="仿宋_GB2312"/>
          <w:color w:val="000000"/>
        </w:rPr>
        <w:t>中华人民共和国网络安全法</w:t>
      </w:r>
      <w:r>
        <w:rPr>
          <w:rFonts w:hint="eastAsia" w:ascii="仿宋_GB2312" w:hAnsi="仿宋_GB2312" w:eastAsia="仿宋_GB2312" w:cs="仿宋_GB2312"/>
          <w:color w:val="000000"/>
          <w:lang w:val="zh-CN"/>
        </w:rPr>
        <w:t>》、《中华人民共和国密码法》、《关于进一步加强全省政务信息化项目密码应用有关工作的通知》（鄂密局发[2021]2号）等法律法规、政策文件要求，进一</w:t>
      </w:r>
      <w:r>
        <w:rPr>
          <w:rFonts w:hint="eastAsia" w:ascii="仿宋_GB2312" w:hAnsi="仿宋_GB2312" w:eastAsia="仿宋_GB2312" w:cs="仿宋_GB2312"/>
          <w:color w:val="000000"/>
        </w:rPr>
        <w:t>步提高网络</w:t>
      </w:r>
      <w:r>
        <w:rPr>
          <w:rFonts w:hint="eastAsia" w:ascii="仿宋_GB2312" w:hAnsi="仿宋_GB2312" w:eastAsia="仿宋_GB2312" w:cs="仿宋_GB2312"/>
          <w:color w:val="000000"/>
          <w:lang w:val="zh-CN"/>
        </w:rPr>
        <w:t>安全</w:t>
      </w:r>
      <w:r>
        <w:rPr>
          <w:rFonts w:hint="eastAsia" w:ascii="仿宋_GB2312" w:hAnsi="仿宋_GB2312" w:eastAsia="仿宋_GB2312" w:cs="仿宋_GB2312"/>
          <w:color w:val="000000"/>
        </w:rPr>
        <w:t>工作的管理</w:t>
      </w:r>
      <w:r>
        <w:rPr>
          <w:rFonts w:hint="eastAsia" w:ascii="仿宋_GB2312" w:hAnsi="仿宋_GB2312" w:eastAsia="仿宋_GB2312" w:cs="仿宋_GB2312"/>
          <w:color w:val="000000"/>
          <w:lang w:val="zh-CN"/>
        </w:rPr>
        <w:t>水平</w:t>
      </w:r>
      <w:r>
        <w:rPr>
          <w:rFonts w:hint="eastAsia" w:ascii="仿宋_GB2312" w:hAnsi="仿宋_GB2312" w:eastAsia="仿宋_GB2312" w:cs="仿宋_GB2312"/>
          <w:color w:val="000000"/>
        </w:rPr>
        <w:t>和技术防护</w:t>
      </w:r>
      <w:r>
        <w:rPr>
          <w:rFonts w:hint="eastAsia" w:ascii="仿宋_GB2312" w:hAnsi="仿宋_GB2312" w:eastAsia="仿宋_GB2312" w:cs="仿宋_GB2312"/>
          <w:color w:val="000000"/>
          <w:lang w:val="zh-CN"/>
        </w:rPr>
        <w:t>能力，促进信息系统信息化建设健康发展，</w:t>
      </w:r>
      <w:r>
        <w:rPr>
          <w:rFonts w:hint="eastAsia" w:ascii="仿宋_GB2312" w:hAnsi="仿宋_GB2312" w:eastAsia="仿宋_GB2312" w:cs="仿宋_GB2312"/>
          <w:color w:val="000000"/>
        </w:rPr>
        <w:t>湖北省卫生健康委员会按照商用密码相关要求</w:t>
      </w:r>
      <w:r>
        <w:rPr>
          <w:rFonts w:hint="eastAsia" w:ascii="仿宋_GB2312" w:hAnsi="仿宋_GB2312" w:eastAsia="仿宋_GB2312" w:cs="仿宋_GB2312"/>
          <w:color w:val="000000"/>
          <w:lang w:val="zh-CN"/>
        </w:rPr>
        <w:t>全面</w:t>
      </w:r>
      <w:r>
        <w:rPr>
          <w:rFonts w:hint="eastAsia" w:ascii="仿宋_GB2312" w:hAnsi="仿宋_GB2312" w:eastAsia="仿宋_GB2312" w:cs="仿宋_GB2312"/>
          <w:color w:val="000000"/>
        </w:rPr>
        <w:t>梳理、检测和评估信息系统的安全隐患和安全风险，</w:t>
      </w:r>
      <w:r>
        <w:rPr>
          <w:rFonts w:hint="eastAsia" w:ascii="仿宋_GB2312" w:hAnsi="仿宋_GB2312" w:eastAsia="仿宋_GB2312" w:cs="仿宋_GB2312"/>
          <w:color w:val="000000"/>
          <w:lang w:val="zh-CN"/>
        </w:rPr>
        <w:t>并在此基础上科学规划和设计出完成的安全体系建设。</w:t>
      </w:r>
      <w:r>
        <w:rPr>
          <w:rFonts w:hint="eastAsia" w:ascii="仿宋_GB2312" w:hAnsi="仿宋_GB2312" w:eastAsia="仿宋_GB2312" w:cs="仿宋_GB2312"/>
          <w:color w:val="000000"/>
        </w:rPr>
        <w:t>通过安全建设整改，</w:t>
      </w:r>
      <w:r>
        <w:rPr>
          <w:rFonts w:hint="eastAsia" w:ascii="仿宋_GB2312" w:hAnsi="仿宋_GB2312" w:eastAsia="仿宋_GB2312" w:cs="仿宋_GB2312"/>
          <w:color w:val="000000"/>
          <w:lang w:val="zh-CN"/>
        </w:rPr>
        <w:t>实现对信息资产的保密、完整、可用、不可抵赖和可审计性，</w:t>
      </w:r>
      <w:r>
        <w:rPr>
          <w:rFonts w:hint="eastAsia" w:ascii="仿宋_GB2312" w:hAnsi="仿宋_GB2312" w:eastAsia="仿宋_GB2312" w:cs="仿宋_GB2312"/>
          <w:color w:val="000000"/>
        </w:rPr>
        <w:t>力争</w:t>
      </w:r>
      <w:r>
        <w:rPr>
          <w:rFonts w:hint="eastAsia" w:ascii="仿宋_GB2312" w:hAnsi="仿宋_GB2312" w:eastAsia="仿宋_GB2312" w:cs="仿宋_GB2312"/>
          <w:color w:val="000000"/>
          <w:lang w:val="zh-CN"/>
        </w:rPr>
        <w:t>做到“进不来、拿不走、改不了，看不懂、跑不了、可审计、打不垮”</w:t>
      </w:r>
      <w:r>
        <w:rPr>
          <w:rFonts w:hint="eastAsia" w:ascii="仿宋_GB2312" w:hAnsi="仿宋_GB2312" w:eastAsia="仿宋_GB2312" w:cs="仿宋_GB2312"/>
          <w:color w:val="000000"/>
        </w:rPr>
        <w:t>的信息安全管理目标。</w:t>
      </w:r>
      <w:r>
        <w:rPr>
          <w:rFonts w:hint="eastAsia" w:cs="宋体"/>
          <w:color w:val="000000"/>
        </w:rPr>
        <w:t xml:space="preserve"> </w:t>
      </w:r>
    </w:p>
    <w:p>
      <w:pPr>
        <w:pStyle w:val="35"/>
        <w:spacing w:line="360" w:lineRule="auto"/>
        <w:ind w:firstLine="480" w:firstLineChars="200"/>
        <w:jc w:val="both"/>
        <w:rPr>
          <w:rFonts w:hint="eastAsia" w:ascii="黑体" w:hAnsi="黑体" w:eastAsia="黑体" w:cs="黑体"/>
          <w:color w:val="000000"/>
        </w:rPr>
      </w:pPr>
    </w:p>
    <w:p>
      <w:pPr>
        <w:pStyle w:val="2"/>
        <w:spacing w:before="0" w:after="0" w:line="360" w:lineRule="auto"/>
        <w:rPr>
          <w:rFonts w:hint="eastAsia" w:ascii="黑体" w:hAnsi="黑体" w:eastAsia="黑体" w:cs="黑体"/>
          <w:sz w:val="24"/>
          <w:szCs w:val="24"/>
        </w:rPr>
      </w:pPr>
      <w:r>
        <w:rPr>
          <w:rFonts w:hint="eastAsia" w:ascii="黑体" w:hAnsi="黑体" w:eastAsia="黑体" w:cs="黑体"/>
          <w:sz w:val="24"/>
          <w:szCs w:val="24"/>
        </w:rPr>
        <w:t>4.2</w:t>
      </w:r>
      <w:r>
        <w:rPr>
          <w:rFonts w:hint="eastAsia" w:ascii="黑体" w:hAnsi="黑体" w:eastAsia="黑体" w:cs="黑体"/>
          <w:sz w:val="24"/>
          <w:szCs w:val="24"/>
          <w:lang w:val="en-US" w:eastAsia="zh-CN"/>
        </w:rPr>
        <w:t>.2</w:t>
      </w:r>
      <w:r>
        <w:rPr>
          <w:rFonts w:hint="eastAsia" w:ascii="黑体" w:hAnsi="黑体" w:eastAsia="黑体" w:cs="黑体"/>
          <w:sz w:val="24"/>
          <w:szCs w:val="24"/>
        </w:rPr>
        <w:t xml:space="preserve">项目目标 </w:t>
      </w:r>
    </w:p>
    <w:p>
      <w:pPr>
        <w:pStyle w:val="4"/>
        <w:spacing w:before="0" w:after="0"/>
        <w:ind w:left="0" w:firstLine="0"/>
        <w:rPr>
          <w:rFonts w:ascii="宋体" w:hAnsi="宋体"/>
          <w:b/>
          <w:bCs/>
          <w:szCs w:val="24"/>
        </w:rPr>
      </w:pPr>
      <w:r>
        <w:rPr>
          <w:rFonts w:hint="eastAsia" w:ascii="黑体" w:hAnsi="黑体" w:eastAsia="黑体" w:cs="黑体"/>
          <w:b/>
          <w:bCs/>
          <w:szCs w:val="24"/>
        </w:rPr>
        <w:t>4.2.</w:t>
      </w:r>
      <w:r>
        <w:rPr>
          <w:rFonts w:hint="eastAsia" w:ascii="黑体" w:hAnsi="黑体" w:eastAsia="黑体" w:cs="黑体"/>
          <w:b/>
          <w:bCs/>
          <w:szCs w:val="24"/>
          <w:lang w:val="en-US" w:eastAsia="zh-CN"/>
        </w:rPr>
        <w:t>2.1</w:t>
      </w:r>
      <w:r>
        <w:rPr>
          <w:rFonts w:hint="eastAsia" w:ascii="黑体" w:hAnsi="黑体" w:eastAsia="黑体" w:cs="黑体"/>
          <w:b/>
          <w:bCs/>
          <w:szCs w:val="24"/>
        </w:rPr>
        <w:t>总体目标</w:t>
      </w:r>
      <w:r>
        <w:rPr>
          <w:rFonts w:hint="eastAsia" w:ascii="宋体" w:hAnsi="宋体"/>
          <w:b/>
          <w:bCs/>
          <w:szCs w:val="24"/>
        </w:rPr>
        <w:t xml:space="preserve"> </w:t>
      </w:r>
    </w:p>
    <w:p>
      <w:pPr>
        <w:pStyle w:val="35"/>
        <w:spacing w:line="360" w:lineRule="auto"/>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该项目以湖北省卫生健康委员会信息系统的实际情况和现实问题为基础，遵照国家的法律法规和标准规范，依据相应等级信息系统的基本要求和安全目标，设计并建设符合行业特点、融管理和技术为一体的整体安全保障体系。</w:t>
      </w:r>
    </w:p>
    <w:p>
      <w:pPr>
        <w:pStyle w:val="35"/>
        <w:spacing w:line="360" w:lineRule="auto"/>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依据湖北省卫生健康委员会信息系统所包括的信息资产的安全性、信息系统主要处理的业务信息类别、信息系统服务范围以及业务对信息系统的依赖性等指标，进行全面的测试、分析。找出信息系统中的风险和问题并提出相应的应对措施。</w:t>
      </w:r>
    </w:p>
    <w:p>
      <w:pPr>
        <w:pStyle w:val="4"/>
        <w:spacing w:before="0" w:after="0"/>
        <w:ind w:left="0" w:firstLine="0"/>
        <w:rPr>
          <w:rFonts w:hint="eastAsia" w:ascii="黑体" w:hAnsi="黑体" w:eastAsia="黑体" w:cs="黑体"/>
          <w:b/>
          <w:bCs/>
          <w:szCs w:val="24"/>
        </w:rPr>
      </w:pPr>
      <w:r>
        <w:rPr>
          <w:rFonts w:hint="eastAsia" w:ascii="黑体" w:hAnsi="黑体" w:eastAsia="黑体" w:cs="黑体"/>
          <w:b/>
          <w:bCs/>
          <w:szCs w:val="24"/>
        </w:rPr>
        <w:t>4.2.2</w:t>
      </w:r>
      <w:r>
        <w:rPr>
          <w:rFonts w:hint="eastAsia" w:ascii="黑体" w:hAnsi="黑体" w:eastAsia="黑体" w:cs="黑体"/>
          <w:b/>
          <w:bCs/>
          <w:szCs w:val="24"/>
          <w:lang w:val="en-US" w:eastAsia="zh-CN"/>
        </w:rPr>
        <w:t>.2</w:t>
      </w:r>
      <w:r>
        <w:rPr>
          <w:rFonts w:hint="eastAsia" w:ascii="黑体" w:hAnsi="黑体" w:eastAsia="黑体" w:cs="黑体"/>
          <w:b/>
          <w:bCs/>
          <w:szCs w:val="24"/>
        </w:rPr>
        <w:t>信息安全体系目标</w:t>
      </w:r>
    </w:p>
    <w:p>
      <w:pPr>
        <w:pStyle w:val="35"/>
        <w:spacing w:line="360" w:lineRule="auto"/>
        <w:ind w:firstLine="480" w:firstLineChars="200"/>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按照商用密码应用安全性评估相关技术标准，科学合理的检测和评估湖北省卫生健康委员会信息系统风险、协助发现风险和问题。通过建设整改，实现对信息资产的保密、完整、可用、不可抵赖和可审计性，基本做到“进不来、拿不走、改不了，看不懂、跑不了、可审计、打不垮”。</w:t>
      </w:r>
    </w:p>
    <w:p>
      <w:pPr>
        <w:pStyle w:val="35"/>
        <w:spacing w:line="360" w:lineRule="auto"/>
        <w:jc w:val="both"/>
        <w:rPr>
          <w:rFonts w:cs="宋体"/>
          <w:color w:val="000000"/>
        </w:rPr>
      </w:pPr>
    </w:p>
    <w:p>
      <w:pPr>
        <w:pStyle w:val="2"/>
        <w:spacing w:before="0" w:after="0" w:line="360" w:lineRule="auto"/>
        <w:rPr>
          <w:rFonts w:ascii="宋体" w:hAnsi="宋体" w:eastAsia="宋体"/>
          <w:sz w:val="24"/>
          <w:szCs w:val="24"/>
        </w:rPr>
      </w:pPr>
      <w:r>
        <w:rPr>
          <w:rFonts w:hint="eastAsia" w:ascii="黑体" w:hAnsi="黑体" w:eastAsia="黑体" w:cs="黑体"/>
          <w:sz w:val="24"/>
          <w:szCs w:val="24"/>
        </w:rPr>
        <w:t>4.</w:t>
      </w:r>
      <w:r>
        <w:rPr>
          <w:rFonts w:hint="eastAsia" w:ascii="黑体" w:hAnsi="黑体" w:eastAsia="黑体" w:cs="黑体"/>
          <w:sz w:val="24"/>
          <w:szCs w:val="24"/>
          <w:lang w:val="en-US" w:eastAsia="zh-CN"/>
        </w:rPr>
        <w:t>2.3</w:t>
      </w:r>
      <w:r>
        <w:rPr>
          <w:rFonts w:hint="eastAsia" w:ascii="黑体" w:hAnsi="黑体" w:eastAsia="黑体" w:cs="黑体"/>
          <w:sz w:val="24"/>
          <w:szCs w:val="24"/>
        </w:rPr>
        <w:t xml:space="preserve"> 标准和依据</w:t>
      </w:r>
      <w:r>
        <w:rPr>
          <w:rFonts w:hint="eastAsia" w:ascii="宋体" w:hAnsi="宋体" w:eastAsia="宋体"/>
          <w:sz w:val="24"/>
          <w:szCs w:val="24"/>
        </w:rPr>
        <w:t xml:space="preserve"> </w:t>
      </w:r>
    </w:p>
    <w:p>
      <w:pPr>
        <w:spacing w:line="36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1、本次商用密码应用安全性评估依据如下法律法规、政策文件执行： </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 xml:space="preserve">《中华人民共和国网络安全法》 </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 xml:space="preserve">《中华人民共和国密码法》 </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 xml:space="preserve">《国家政务信息化项目建设管理办法》（国办发[2019]57号） </w:t>
      </w:r>
    </w:p>
    <w:p>
      <w:pPr>
        <w:pStyle w:val="60"/>
        <w:numPr>
          <w:ilvl w:val="0"/>
          <w:numId w:val="3"/>
        </w:numPr>
        <w:adjustRightInd w:val="0"/>
        <w:snapToGrid w:val="0"/>
        <w:spacing w:line="360" w:lineRule="auto"/>
        <w:ind w:firstLineChars="0"/>
        <w:outlineLvl w:val="3"/>
        <w:rPr>
          <w:rFonts w:hint="eastAsia" w:ascii="仿宋_GB2312" w:hAnsi="仿宋_GB2312" w:eastAsia="仿宋_GB2312" w:cs="仿宋_GB2312"/>
          <w:sz w:val="24"/>
        </w:rPr>
      </w:pPr>
      <w:r>
        <w:rPr>
          <w:rFonts w:hint="eastAsia" w:ascii="仿宋_GB2312" w:hAnsi="Times New Roman" w:eastAsia="仿宋_GB2312"/>
          <w:color w:val="000000" w:themeColor="text1"/>
          <w:sz w:val="24"/>
          <w:szCs w:val="28"/>
          <w14:textFill>
            <w14:solidFill>
              <w14:schemeClr w14:val="tx1"/>
            </w14:solidFill>
          </w14:textFill>
        </w:rPr>
        <w:t>《国家密码管理局关于进一步加强国家政务信息系统密码应用与安全</w:t>
      </w:r>
      <w:r>
        <w:rPr>
          <w:rFonts w:hint="eastAsia" w:ascii="仿宋_GB2312" w:hAnsi="仿宋_GB2312" w:eastAsia="仿宋_GB2312" w:cs="仿宋_GB2312"/>
          <w:sz w:val="24"/>
        </w:rPr>
        <w:t>性评估工作的函》（国密局函 [2020]119号）</w:t>
      </w:r>
    </w:p>
    <w:p>
      <w:pPr>
        <w:pStyle w:val="60"/>
        <w:numPr>
          <w:ilvl w:val="0"/>
          <w:numId w:val="3"/>
        </w:numPr>
        <w:adjustRightInd w:val="0"/>
        <w:snapToGrid w:val="0"/>
        <w:spacing w:line="360" w:lineRule="auto"/>
        <w:ind w:firstLineChars="0"/>
        <w:outlineLvl w:val="3"/>
        <w:rPr>
          <w:rFonts w:hint="eastAsia" w:ascii="仿宋_GB2312" w:hAnsi="仿宋_GB2312" w:eastAsia="仿宋_GB2312" w:cs="仿宋_GB2312"/>
          <w:sz w:val="24"/>
        </w:rPr>
      </w:pPr>
      <w:r>
        <w:rPr>
          <w:rFonts w:hint="eastAsia" w:ascii="仿宋_GB2312" w:hAnsi="Times New Roman" w:eastAsia="仿宋_GB2312"/>
          <w:color w:val="000000" w:themeColor="text1"/>
          <w:sz w:val="24"/>
          <w:szCs w:val="28"/>
          <w14:textFill>
            <w14:solidFill>
              <w14:schemeClr w14:val="tx1"/>
            </w14:solidFill>
          </w14:textFill>
        </w:rPr>
        <w:t>《关于进一步加强全省政务信息化项目密码应用有关工作的通知》（鄂</w:t>
      </w:r>
      <w:r>
        <w:rPr>
          <w:rFonts w:hint="eastAsia" w:ascii="仿宋_GB2312" w:hAnsi="仿宋_GB2312" w:eastAsia="仿宋_GB2312" w:cs="仿宋_GB2312"/>
          <w:sz w:val="24"/>
        </w:rPr>
        <w:t xml:space="preserve">密局发[2021]2号） </w:t>
      </w:r>
    </w:p>
    <w:p>
      <w:pPr>
        <w:spacing w:line="36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2、本次商用密码应用安全性评估参照以下技术标准（项目执行期间，如国家技术标准调整，按新生效的标准执行）： </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 xml:space="preserve">《计算机信息系统安全保护等级划分准则》(GB17859-1999) </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《信息安全技术信息系统通用安全技术要求》(GB/T20271-2006)</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《信息安全技术 网络基础安全技术要求》(GB/T20270-2006)</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《信息安全技术 操作系统安全技术要求》(GB/T20272-2006)</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《信息安全技术 数据库管理系统安全技术要求》(GB/T20273-2006)</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《信息安全技术信息系统安全管理要求》(GB/T20269-2006)</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 xml:space="preserve">《信息安全技术信息安全风险评估规范》（GB/T 20984-2007） </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 xml:space="preserve">《信息安全技术 信息系统密码应用基本要求》（GB/T 39786-2021） </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 xml:space="preserve">《信息系统密码应用基本要求》（GM/T 0054-2018） </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 xml:space="preserve">《信息安全技术 信息系统密码应用基本要求》（GB/T 39786-2021） </w:t>
      </w:r>
    </w:p>
    <w:p>
      <w:pPr>
        <w:pStyle w:val="60"/>
        <w:numPr>
          <w:ilvl w:val="0"/>
          <w:numId w:val="3"/>
        </w:numPr>
        <w:adjustRightInd w:val="0"/>
        <w:snapToGrid w:val="0"/>
        <w:spacing w:line="360" w:lineRule="auto"/>
        <w:ind w:firstLineChars="0"/>
        <w:outlineLvl w:val="3"/>
        <w:rPr>
          <w:rFonts w:hint="eastAsia" w:ascii="仿宋_GB2312" w:hAnsi="Times New Roman" w:eastAsia="仿宋_GB2312"/>
          <w:color w:val="000000" w:themeColor="text1"/>
          <w:sz w:val="24"/>
          <w:szCs w:val="28"/>
          <w14:textFill>
            <w14:solidFill>
              <w14:schemeClr w14:val="tx1"/>
            </w14:solidFill>
          </w14:textFill>
        </w:rPr>
      </w:pPr>
      <w:r>
        <w:rPr>
          <w:rFonts w:hint="eastAsia" w:ascii="仿宋_GB2312" w:hAnsi="Times New Roman" w:eastAsia="仿宋_GB2312"/>
          <w:color w:val="000000" w:themeColor="text1"/>
          <w:sz w:val="24"/>
          <w:szCs w:val="28"/>
          <w14:textFill>
            <w14:solidFill>
              <w14:schemeClr w14:val="tx1"/>
            </w14:solidFill>
          </w14:textFill>
        </w:rPr>
        <w:t xml:space="preserve">政务信息系统密码应用与安全性评估工作指南（2020版） </w:t>
      </w:r>
    </w:p>
    <w:p>
      <w:pPr>
        <w:pStyle w:val="35"/>
        <w:spacing w:line="360" w:lineRule="auto"/>
        <w:jc w:val="both"/>
        <w:rPr>
          <w:rFonts w:hint="eastAsia" w:cs="宋体"/>
          <w:color w:val="000000"/>
        </w:rPr>
      </w:pPr>
    </w:p>
    <w:p>
      <w:pPr>
        <w:pStyle w:val="2"/>
        <w:spacing w:before="0" w:after="0" w:line="360" w:lineRule="auto"/>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lang w:val="en-US" w:eastAsia="zh-CN"/>
        </w:rPr>
        <w:t>2.</w:t>
      </w:r>
      <w:r>
        <w:rPr>
          <w:rFonts w:ascii="宋体" w:hAnsi="宋体" w:eastAsia="宋体"/>
          <w:sz w:val="24"/>
          <w:szCs w:val="24"/>
        </w:rPr>
        <w:t xml:space="preserve">4 </w:t>
      </w:r>
      <w:r>
        <w:rPr>
          <w:rFonts w:hint="eastAsia" w:ascii="黑体" w:hAnsi="黑体" w:eastAsia="黑体" w:cs="黑体"/>
          <w:sz w:val="24"/>
          <w:szCs w:val="24"/>
        </w:rPr>
        <w:t>测评实施原则</w:t>
      </w:r>
      <w:r>
        <w:rPr>
          <w:rFonts w:hint="eastAsia" w:ascii="宋体" w:hAnsi="宋体" w:eastAsia="宋体"/>
          <w:sz w:val="24"/>
          <w:szCs w:val="24"/>
        </w:rPr>
        <w:t xml:space="preserve"> </w:t>
      </w:r>
    </w:p>
    <w:p>
      <w:pPr>
        <w:spacing w:line="360" w:lineRule="auto"/>
        <w:ind w:firstLine="645"/>
        <w:rPr>
          <w:rFonts w:hint="eastAsia" w:ascii="仿宋_GB2312" w:hAnsi="仿宋_GB2312" w:eastAsia="仿宋_GB2312" w:cs="仿宋_GB2312"/>
          <w:kern w:val="0"/>
          <w:sz w:val="24"/>
          <w:szCs w:val="22"/>
        </w:rPr>
      </w:pPr>
      <w:r>
        <w:rPr>
          <w:rFonts w:hint="eastAsia" w:ascii="仿宋_GB2312" w:hAnsi="仿宋_GB2312" w:eastAsia="仿宋_GB2312" w:cs="仿宋_GB2312"/>
          <w:kern w:val="0"/>
          <w:sz w:val="24"/>
        </w:rPr>
        <w:t>在项目实施过程中必须满足以下原则：</w:t>
      </w:r>
    </w:p>
    <w:p>
      <w:pPr>
        <w:spacing w:line="360" w:lineRule="auto"/>
        <w:ind w:firstLine="645"/>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rPr>
        <w:t>1）保密原则</w:t>
      </w:r>
      <w:r>
        <w:rPr>
          <w:rFonts w:hint="eastAsia" w:ascii="仿宋_GB2312" w:hAnsi="仿宋_GB2312" w:eastAsia="仿宋_GB2312" w:cs="仿宋_GB2312"/>
          <w:kern w:val="0"/>
          <w:sz w:val="24"/>
        </w:rPr>
        <w:t>：对测评的过程数据和结果数据严格保密，未经授权不得泄露给任何单位和个人，不得利用此数据进行任何侵害招标方的行为。</w:t>
      </w:r>
    </w:p>
    <w:p>
      <w:pPr>
        <w:spacing w:line="360" w:lineRule="auto"/>
        <w:ind w:firstLine="645"/>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2</w:t>
      </w:r>
      <w:r>
        <w:rPr>
          <w:rFonts w:hint="eastAsia" w:ascii="仿宋_GB2312" w:hAnsi="仿宋_GB2312" w:eastAsia="仿宋_GB2312" w:cs="仿宋_GB2312"/>
          <w:b/>
          <w:bCs/>
          <w:kern w:val="0"/>
          <w:sz w:val="24"/>
        </w:rPr>
        <w:t>）标准性原则</w:t>
      </w:r>
      <w:r>
        <w:rPr>
          <w:rFonts w:hint="eastAsia" w:ascii="仿宋_GB2312" w:hAnsi="仿宋_GB2312" w:eastAsia="仿宋_GB2312" w:cs="仿宋_GB2312"/>
          <w:kern w:val="0"/>
          <w:sz w:val="24"/>
        </w:rPr>
        <w:t>：测评方案的设计与实施应依据国家信息系统安全的相关标准进行。</w:t>
      </w:r>
    </w:p>
    <w:p>
      <w:pPr>
        <w:spacing w:line="360" w:lineRule="auto"/>
        <w:ind w:firstLine="645"/>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3）规范</w:t>
      </w:r>
      <w:r>
        <w:rPr>
          <w:rFonts w:hint="eastAsia" w:ascii="仿宋_GB2312" w:hAnsi="仿宋_GB2312" w:eastAsia="仿宋_GB2312" w:cs="仿宋_GB2312"/>
          <w:b/>
          <w:bCs/>
          <w:kern w:val="0"/>
          <w:sz w:val="24"/>
        </w:rPr>
        <w:t>性原则</w:t>
      </w:r>
      <w:r>
        <w:rPr>
          <w:rFonts w:hint="eastAsia" w:ascii="仿宋_GB2312" w:hAnsi="仿宋_GB2312" w:eastAsia="仿宋_GB2312" w:cs="仿宋_GB2312"/>
          <w:kern w:val="0"/>
          <w:sz w:val="24"/>
        </w:rPr>
        <w:t>：投标方的工作中的过程和文档，具有很好的规范性，可以便于项目的跟踪和控制。</w:t>
      </w:r>
    </w:p>
    <w:p>
      <w:pPr>
        <w:spacing w:line="360" w:lineRule="auto"/>
        <w:ind w:firstLine="645"/>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4）可</w:t>
      </w:r>
      <w:r>
        <w:rPr>
          <w:rFonts w:hint="eastAsia" w:ascii="仿宋_GB2312" w:hAnsi="仿宋_GB2312" w:eastAsia="仿宋_GB2312" w:cs="仿宋_GB2312"/>
          <w:b/>
          <w:bCs/>
          <w:kern w:val="0"/>
          <w:sz w:val="24"/>
        </w:rPr>
        <w:t>控性原则</w:t>
      </w:r>
      <w:r>
        <w:rPr>
          <w:rFonts w:hint="eastAsia" w:ascii="仿宋_GB2312" w:hAnsi="仿宋_GB2312" w:eastAsia="仿宋_GB2312" w:cs="仿宋_GB2312"/>
          <w:kern w:val="0"/>
          <w:sz w:val="24"/>
        </w:rPr>
        <w:t>：项目安排工作进度要跟上进度表的安排，保证工作的可控性。</w:t>
      </w:r>
    </w:p>
    <w:p>
      <w:pPr>
        <w:spacing w:line="360" w:lineRule="auto"/>
        <w:ind w:firstLine="645"/>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5）最</w:t>
      </w:r>
      <w:r>
        <w:rPr>
          <w:rFonts w:hint="eastAsia" w:ascii="仿宋_GB2312" w:hAnsi="仿宋_GB2312" w:eastAsia="仿宋_GB2312" w:cs="仿宋_GB2312"/>
          <w:b/>
          <w:bCs/>
          <w:kern w:val="0"/>
          <w:sz w:val="24"/>
        </w:rPr>
        <w:t>小影响原则</w:t>
      </w:r>
      <w:r>
        <w:rPr>
          <w:rFonts w:hint="eastAsia" w:ascii="仿宋_GB2312" w:hAnsi="仿宋_GB2312" w:eastAsia="仿宋_GB2312" w:cs="仿宋_GB2312"/>
          <w:kern w:val="0"/>
          <w:sz w:val="24"/>
        </w:rPr>
        <w:t>：测评工作应尽可能小的影响系统和网络，并在可控范围内；测评工作不能对现有信息系统的正常运行、业务的正常开展产生任何影响。</w:t>
      </w:r>
    </w:p>
    <w:p>
      <w:pPr>
        <w:spacing w:line="360" w:lineRule="auto"/>
        <w:ind w:firstLine="645"/>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6）</w:t>
      </w:r>
      <w:r>
        <w:rPr>
          <w:rFonts w:hint="eastAsia" w:ascii="仿宋_GB2312" w:hAnsi="仿宋_GB2312" w:eastAsia="仿宋_GB2312" w:cs="仿宋_GB2312"/>
          <w:b/>
          <w:bCs/>
          <w:kern w:val="0"/>
          <w:sz w:val="24"/>
        </w:rPr>
        <w:t>整体性原则</w:t>
      </w:r>
      <w:r>
        <w:rPr>
          <w:rFonts w:hint="eastAsia" w:ascii="仿宋_GB2312" w:hAnsi="仿宋_GB2312" w:eastAsia="仿宋_GB2312" w:cs="仿宋_GB2312"/>
          <w:kern w:val="0"/>
          <w:sz w:val="24"/>
        </w:rPr>
        <w:t xml:space="preserve">：测评的范围和内容应当整体全面，包括国家相关要求涉及的各个层面。 </w:t>
      </w:r>
    </w:p>
    <w:p>
      <w:pPr>
        <w:pStyle w:val="35"/>
        <w:spacing w:line="360" w:lineRule="auto"/>
        <w:jc w:val="both"/>
        <w:rPr>
          <w:rFonts w:hint="eastAsia" w:ascii="仿宋_GB2312" w:hAnsi="仿宋_GB2312" w:eastAsia="仿宋_GB2312" w:cs="仿宋_GB2312"/>
          <w:color w:val="000000"/>
        </w:rPr>
      </w:pPr>
    </w:p>
    <w:p>
      <w:pPr>
        <w:pStyle w:val="3"/>
        <w:spacing w:before="120" w:after="120" w:line="360" w:lineRule="auto"/>
        <w:rPr>
          <w:rFonts w:hint="eastAsia" w:ascii="黑体" w:hAnsi="黑体" w:eastAsia="黑体" w:cs="黑体"/>
        </w:rPr>
      </w:pPr>
      <w:r>
        <w:rPr>
          <w:rFonts w:hint="eastAsia" w:ascii="黑体" w:hAnsi="黑体" w:eastAsia="黑体" w:cs="黑体"/>
          <w:b w:val="0"/>
          <w:bCs/>
          <w:color w:val="000000" w:themeColor="text1"/>
          <w:kern w:val="2"/>
          <w:sz w:val="24"/>
          <w:szCs w:val="28"/>
          <w:lang w:val="en-US" w:eastAsia="zh-CN" w:bidi="ar-SA"/>
          <w14:textFill>
            <w14:solidFill>
              <w14:schemeClr w14:val="tx1"/>
            </w14:solidFill>
          </w14:textFill>
        </w:rPr>
        <w:t>4.3、商用密码应用安全性评估技术要求</w:t>
      </w:r>
      <w:r>
        <w:rPr>
          <w:rFonts w:hint="eastAsia" w:ascii="黑体" w:hAnsi="黑体" w:eastAsia="黑体" w:cs="黑体"/>
          <w:sz w:val="24"/>
          <w:szCs w:val="24"/>
        </w:rPr>
        <w:t xml:space="preserve"> </w:t>
      </w:r>
    </w:p>
    <w:p>
      <w:pPr>
        <w:spacing w:line="360" w:lineRule="auto"/>
        <w:ind w:firstLine="645"/>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依据《信息安全技术 信息系统密码应用基本要求》（GB/T 39786-2021）、政务信息系统密码应用与安全性评估工作指南（2020 版）等相关技术标准要求，参照ISO20000或CNAS检验等信息技术服务体系，对被测信息系统开展商用密码应用安全性评估（项目执行期间，如国家技术标准发生变化，按照新生效的技术标准执行），为采购方开展密码应用方案设计提供技术咨询，评估内容如下：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059"/>
        <w:gridCol w:w="1546"/>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仿宋_GB2312" w:hAnsi="仿宋_GB2312" w:eastAsia="仿宋_GB2312" w:cs="仿宋_GB2312"/>
                <w:b w:val="0"/>
                <w:bCs w:val="0"/>
                <w:kern w:val="0"/>
                <w:szCs w:val="21"/>
              </w:rPr>
            </w:pPr>
            <w:r>
              <w:rPr>
                <w:rFonts w:hint="eastAsia" w:ascii="仿宋_GB2312" w:hAnsi="仿宋_GB2312" w:eastAsia="仿宋_GB2312" w:cs="仿宋_GB2312"/>
                <w:b w:val="0"/>
                <w:bCs w:val="0"/>
                <w:kern w:val="0"/>
                <w:szCs w:val="21"/>
              </w:rPr>
              <w:t>序号</w:t>
            </w:r>
          </w:p>
        </w:tc>
        <w:tc>
          <w:tcPr>
            <w:tcW w:w="4611"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商用密码应用安全性评估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kern w:val="0"/>
                <w:szCs w:val="21"/>
              </w:rPr>
              <w:t>1</w:t>
            </w:r>
          </w:p>
        </w:tc>
        <w:tc>
          <w:tcPr>
            <w:tcW w:w="621"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密码应用方案评估</w:t>
            </w: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密码应用解决方案评估</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中标方应对密码应用解决方案的完整性和密码应用设计的合规性、正确性和有效性进行评估。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实施方案评估</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中标方应检查文档结构是否完整，并审查实施方案是否按照《密码应用解决方案》的设计要求进行编制。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应急方案评估</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w:t>
            </w:r>
            <w:r>
              <w:rPr>
                <w:rFonts w:hint="eastAsia" w:ascii="仿宋_GB2312" w:hAnsi="仿宋_GB2312" w:eastAsia="仿宋_GB2312" w:cs="仿宋_GB2312"/>
                <w:kern w:val="0"/>
                <w:szCs w:val="21"/>
              </w:rPr>
              <w:t>检查文档结构是否完整，并审查应急方案提出的风险应急预案是否完备、合理、周密。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621"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总体要求</w:t>
            </w: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密码算法</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中标方应验证被测信息系统中使用的密码算法是否当符合法律、法规的规定和密码相关国家标准、行业标准的有关要求。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密码技术</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中标方应验证被测信息系统中使用的密码技术是否遵循密码相关国家标准和行业标准。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密码产品</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中标方应验证被测信息系统中使用的密码产品与密码模块是否通过国家密码管理部门核准。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密码服务</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中标方应验证被测信息系统中使用的密码服务是否通过国家密码管理部门许可。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w:t>
            </w:r>
          </w:p>
        </w:tc>
        <w:tc>
          <w:tcPr>
            <w:tcW w:w="621"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物理和环境安全</w:t>
            </w: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身份鉴别</w:t>
            </w:r>
          </w:p>
        </w:tc>
        <w:tc>
          <w:tcPr>
            <w:tcW w:w="3081"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中标方应验证被测信息系统</w:t>
            </w:r>
            <w:r>
              <w:rPr>
                <w:rFonts w:hint="eastAsia" w:ascii="仿宋_GB2312" w:hAnsi="仿宋_GB2312" w:eastAsia="仿宋_GB2312" w:cs="仿宋_GB2312"/>
              </w:rPr>
              <w:t>在电子门禁系统中是否使用密码技术的真实性服务来保护身份鉴别信息，保证重要区域进入人员身份的真实性。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rPr>
              <w:t>电子门禁记录数据完整性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w:t>
            </w:r>
            <w:r>
              <w:rPr>
                <w:rFonts w:hint="eastAsia" w:ascii="仿宋_GB2312" w:hAnsi="仿宋_GB2312" w:eastAsia="仿宋_GB2312" w:cs="仿宋_GB2312"/>
              </w:rPr>
              <w:t>被测信息系统是否使用密码技术的完整性服务来保证电子门禁系统进出记录的完整性。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rPr>
              <w:t>视频记录数据完整性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中标方应验证被测信息系统是否使用密码技术的完整性服务来保证视频监控音像记录的完整性。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621"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网络和通信安全</w:t>
            </w: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身份鉴别</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在通信前基于密码技术对通信双方进行验证或认证，使用密码技术的机密性和真实性服务来实现防截获、防假冒和防重用，保证传输过程中鉴别信息的机密性和网络设备实体身份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访问控制信息完整性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中标方应验证被测信息系统是否使用密码技术的完整性服务来保证网络边界和系统资源访问控制信息的完整性。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通信数据完整性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中标方应验证被测信息系统是否采用密码技术保证通信过程中数据的完整性。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通信数据机密性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中标方应验证被测信息系统是否采用密码技术保证通信过程中敏感信息数据字段或整个报文的机密性。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15</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安全接入认证</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中标方应验证被测信息系统是否采用密码技术对外部连接到内部网络的设备进行接入认证，确保接入的设备身份真实性。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16</w:t>
            </w:r>
          </w:p>
        </w:tc>
        <w:tc>
          <w:tcPr>
            <w:tcW w:w="621"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设备和计算安全</w:t>
            </w: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身份鉴别</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中标方应验证被测信息系统是否使用密码技术对登录的用户进行身份标识和鉴别，身份标识具有唯一性，身份鉴别信息具有复杂度要求并定期更换。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17</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远程管理通道安全</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中标方应验证被测信息系统是否远程管理时，应使用密码技术建立安全的信息传输通道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18</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系统资源访问控制信息完整性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中标方应验证被测信息系统是否使用密码技术的完整性服务来保证系统资源访问控制信息的完整性。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19</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重要信息资源安全标记完整性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中标方应验证被测信息系统设备是否使用密码技术的完整性服务来保证设备中重要信息资源安全标记的完整性。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重要可执行程序完整性、重要可执行程序来源真实性</w:t>
            </w:r>
          </w:p>
        </w:tc>
        <w:tc>
          <w:tcPr>
            <w:tcW w:w="3081"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中标方应验证被测信息系统是否采用密码技术对重要可执行程序进行完整性保护，并对其来源进行真实性验证。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日志记录完整性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中标方应验证被测信息系统是否使用密码技术的完整性功能来对日志记录进行完整性保护。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621"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应用和数据安全</w:t>
            </w: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身份鉴别</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中标方应验证被测信息系统是否使用密码技术对登录的用户进行身份标识和鉴别，实现身份鉴别信息的防截获、防假冒和防重用，保证应用系统用户身份的真实性。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23</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访问控制信息和敏感标记完整性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中标方应验证被测信息系统是否使用密码技术的完整性服务来保证业务应用系统访问控制策略、数据库表访问控制信息和重要信息资源敏感标记等信息的完整性。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24</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数据传输机密性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中标方应验证被测信息系统是否采用密码技术保证重要数据在传输过程中的机密性，包括但不限于鉴别数据、重要业务数据和重要用户信息等。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数据存储机密性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中标方应验证被测信息系统是否采用密码技术保证重要数据在存储过程中的机密性，包括但不限于鉴别数据、重要业务数据和重要用户信息等。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26</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数据传输完整性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中标方应验证被测信息系统是否采用密码技术保证重要数据在传输过程中的完整性，包括但不限于鉴别数据、重要业务数据、重要审计数据、重要配置数据、重要视频数据和重要用户信息等。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27</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数据存储完整性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中标方应验证被测信息系统是否采用密码技术保证重要数据在存储过程中的完整性，包括但不限于鉴别数据、重要业务数据、重要审计数据、重要配置数据、重要视频数据和重要用户信息、重要可执行程序等。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28</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重要信息资源安全标记完整性</w:t>
            </w:r>
          </w:p>
        </w:tc>
        <w:tc>
          <w:tcPr>
            <w:tcW w:w="3081"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中标方应验证被测信息系统是否使用密码技术的完整性服务来保证重要信息资源敏感标记的完整性。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29</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不可否认性</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在可能涉及法律责任认定的应用中，中标方应验证被测信息系统是否采用密码技术提供数据原发证据和数据接收证据，实现数据原发行为的不可否认性和数据接收行为的不可否认性。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621" w:type="pct"/>
            <w:vMerge w:val="restart"/>
            <w:tcBorders>
              <w:top w:val="single" w:color="auto" w:sz="4" w:space="0"/>
              <w:left w:val="single" w:color="auto" w:sz="4" w:space="0"/>
              <w:right w:val="single" w:color="auto" w:sz="4" w:space="0"/>
            </w:tcBorders>
            <w:vAlign w:val="center"/>
          </w:tcPr>
          <w:p>
            <w:pPr>
              <w:autoSpaceDE w:val="0"/>
              <w:autoSpaceDN w:val="0"/>
              <w:adjustRightInd w:val="0"/>
              <w:snapToGrid w:val="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管理制度</w:t>
            </w: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具备密码应用安全管理制度</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中标方应验证责任单位是否具备密码应用安全管理制度,包括密码人员管理、密钥管理、建设运行、应急处置、密码软硬件及介质管理等制度;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31</w:t>
            </w:r>
          </w:p>
        </w:tc>
        <w:tc>
          <w:tcPr>
            <w:tcW w:w="621" w:type="pct"/>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密钥管理规则</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szCs w:val="22"/>
              </w:rPr>
            </w:pPr>
            <w:r>
              <w:rPr>
                <w:rFonts w:hint="eastAsia" w:ascii="仿宋_GB2312" w:hAnsi="仿宋_GB2312" w:eastAsia="仿宋_GB2312" w:cs="仿宋_GB2312"/>
              </w:rPr>
              <w:t>中标方应验证责任单位是否根据密码应用方案建立相应密钥管理规则;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32</w:t>
            </w:r>
          </w:p>
        </w:tc>
        <w:tc>
          <w:tcPr>
            <w:tcW w:w="621" w:type="pct"/>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建立操作流程</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szCs w:val="22"/>
              </w:rPr>
            </w:pPr>
            <w:r>
              <w:rPr>
                <w:rFonts w:hint="eastAsia" w:ascii="仿宋_GB2312" w:hAnsi="仿宋_GB2312" w:eastAsia="仿宋_GB2312" w:cs="仿宋_GB2312"/>
              </w:rPr>
              <w:t>中标方应验证责任单位是否对管理人员或操作人员执行的日常管理操作建立操作规程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33</w:t>
            </w:r>
          </w:p>
        </w:tc>
        <w:tc>
          <w:tcPr>
            <w:tcW w:w="621" w:type="pct"/>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定期修订安全管理制度</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中标方应验证责任单位</w:t>
            </w:r>
            <w:r>
              <w:rPr>
                <w:rFonts w:hint="eastAsia" w:ascii="仿宋_GB2312" w:hAnsi="仿宋_GB2312" w:eastAsia="仿宋_GB2312" w:cs="仿宋_GB2312"/>
              </w:rPr>
              <w:t>系统负责人是否定期对密码应用安全管理制度和操作规程的合理性和适用性进行论证和审定,对存在不足或需要改进之处进行修订;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34</w:t>
            </w:r>
          </w:p>
        </w:tc>
        <w:tc>
          <w:tcPr>
            <w:tcW w:w="621" w:type="pct"/>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明确管理制度发布流程</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中标方应验证责任单位</w:t>
            </w:r>
            <w:r>
              <w:rPr>
                <w:rFonts w:hint="eastAsia" w:ascii="仿宋_GB2312" w:hAnsi="仿宋_GB2312" w:eastAsia="仿宋_GB2312" w:cs="仿宋_GB2312"/>
              </w:rPr>
              <w:t>系统负责人是否明确相关密码应用安全管理制度和操作规程的发布流程并进行版本控制;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35</w:t>
            </w:r>
          </w:p>
        </w:tc>
        <w:tc>
          <w:tcPr>
            <w:tcW w:w="621" w:type="pct"/>
            <w:vMerge w:val="continue"/>
            <w:tcBorders>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制度执行过程记录留存</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szCs w:val="22"/>
              </w:rPr>
            </w:pPr>
            <w:r>
              <w:rPr>
                <w:rFonts w:hint="eastAsia" w:ascii="仿宋_GB2312" w:hAnsi="仿宋_GB2312" w:eastAsia="仿宋_GB2312" w:cs="仿宋_GB2312"/>
                <w:kern w:val="0"/>
                <w:szCs w:val="21"/>
              </w:rPr>
              <w:t>中标方应验证</w:t>
            </w:r>
            <w:r>
              <w:rPr>
                <w:rFonts w:hint="eastAsia" w:ascii="仿宋_GB2312" w:hAnsi="仿宋_GB2312" w:eastAsia="仿宋_GB2312" w:cs="仿宋_GB2312"/>
              </w:rPr>
              <w:t>责任单位是否具有密码应用操作规程的相关执行记录并妥善保存。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621" w:type="pct"/>
            <w:vMerge w:val="restart"/>
            <w:tcBorders>
              <w:top w:val="single" w:color="auto" w:sz="4" w:space="0"/>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人员管理</w:t>
            </w: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了解并遵守密码相关法律法规和密码管理制度</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w:t>
            </w:r>
            <w:r>
              <w:rPr>
                <w:rFonts w:hint="eastAsia" w:ascii="仿宋_GB2312" w:hAnsi="仿宋_GB2312" w:eastAsia="仿宋_GB2312" w:cs="仿宋_GB2312"/>
              </w:rPr>
              <w:t>责任单位相关人员是否了解并遵守密码相关法律法规、密码应用安全管理制度;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37</w:t>
            </w:r>
          </w:p>
        </w:tc>
        <w:tc>
          <w:tcPr>
            <w:tcW w:w="621" w:type="pct"/>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建立密码应用岗位责任制度</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w:t>
            </w:r>
            <w:r>
              <w:rPr>
                <w:rFonts w:hint="eastAsia" w:ascii="仿宋_GB2312" w:hAnsi="仿宋_GB2312" w:eastAsia="仿宋_GB2312" w:cs="仿宋_GB2312"/>
              </w:rPr>
              <w:t>责任单位是否建立密码应用岗位责任制度，明确各岗位在安全系统中的职责和权限: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38</w:t>
            </w:r>
          </w:p>
        </w:tc>
        <w:tc>
          <w:tcPr>
            <w:tcW w:w="621" w:type="pct"/>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建立上岗人员培训制度</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w:t>
            </w:r>
            <w:r>
              <w:rPr>
                <w:rFonts w:hint="eastAsia" w:ascii="仿宋_GB2312" w:hAnsi="仿宋_GB2312" w:eastAsia="仿宋_GB2312" w:cs="仿宋_GB2312"/>
              </w:rPr>
              <w:t>责任单位是否建立关键岗位人员保密制度和调离制度，签订保密合同，承担保密义务。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39</w:t>
            </w:r>
          </w:p>
        </w:tc>
        <w:tc>
          <w:tcPr>
            <w:tcW w:w="621" w:type="pct"/>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定期进行安全岗位人员考核</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w:t>
            </w:r>
            <w:r>
              <w:rPr>
                <w:rFonts w:hint="eastAsia" w:ascii="仿宋_GB2312" w:hAnsi="仿宋_GB2312" w:eastAsia="仿宋_GB2312" w:cs="仿宋_GB2312"/>
              </w:rPr>
              <w:t>责任单位是否定期对密码应用安全岗位人员进行考核;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40</w:t>
            </w:r>
          </w:p>
        </w:tc>
        <w:tc>
          <w:tcPr>
            <w:tcW w:w="621" w:type="pct"/>
            <w:vMerge w:val="continue"/>
            <w:tcBorders>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建立关键岗位人员保密制度和调离制度</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中标方应验证责任单位</w:t>
            </w:r>
            <w:r>
              <w:rPr>
                <w:rFonts w:hint="eastAsia" w:ascii="仿宋_GB2312" w:hAnsi="仿宋_GB2312" w:eastAsia="仿宋_GB2312" w:cs="仿宋_GB2312"/>
              </w:rPr>
              <w:t>是否建立关键人员保密制度和调离制度.签订保密合同,承担保密义务。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41</w:t>
            </w:r>
          </w:p>
        </w:tc>
        <w:tc>
          <w:tcPr>
            <w:tcW w:w="621" w:type="pct"/>
            <w:vMerge w:val="restart"/>
            <w:tcBorders>
              <w:top w:val="single" w:color="auto" w:sz="4" w:space="0"/>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建设运行</w:t>
            </w: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制定密码应用方案</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中标方应验证责任单位</w:t>
            </w:r>
            <w:r>
              <w:rPr>
                <w:rFonts w:hint="eastAsia" w:ascii="仿宋_GB2312" w:hAnsi="仿宋_GB2312" w:eastAsia="仿宋_GB2312" w:cs="仿宋_GB2312"/>
              </w:rPr>
              <w:t>是否依据密码相关标准和密码应用需求,制定密码应用方案;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42</w:t>
            </w:r>
          </w:p>
        </w:tc>
        <w:tc>
          <w:tcPr>
            <w:tcW w:w="621" w:type="pct"/>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制定密钥安全管理策略</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w:t>
            </w:r>
            <w:r>
              <w:rPr>
                <w:rFonts w:hint="eastAsia" w:ascii="仿宋_GB2312" w:hAnsi="仿宋_GB2312" w:eastAsia="仿宋_GB2312" w:cs="仿宋_GB2312"/>
              </w:rPr>
              <w:t>责任单位是否根据密码应用方案.确定系统涉及的密钥种类、体系及其生存周期环节；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43</w:t>
            </w:r>
          </w:p>
        </w:tc>
        <w:tc>
          <w:tcPr>
            <w:tcW w:w="621" w:type="pct"/>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制定实施方案</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中标方应验证</w:t>
            </w:r>
            <w:r>
              <w:rPr>
                <w:rFonts w:hint="eastAsia" w:ascii="仿宋_GB2312" w:hAnsi="仿宋_GB2312" w:eastAsia="仿宋_GB2312" w:cs="仿宋_GB2312"/>
              </w:rPr>
              <w:t>建设单位是否按照应用方案实施建设;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44</w:t>
            </w:r>
          </w:p>
        </w:tc>
        <w:tc>
          <w:tcPr>
            <w:tcW w:w="621" w:type="pct"/>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投入运行前进行密码应用安全性评估</w:t>
            </w:r>
          </w:p>
        </w:tc>
        <w:tc>
          <w:tcPr>
            <w:tcW w:w="3081" w:type="pct"/>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rPr>
              <w:t>中标方应验证被测系统投人运行前是否进行密码应用安全性评估;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45</w:t>
            </w:r>
          </w:p>
        </w:tc>
        <w:tc>
          <w:tcPr>
            <w:tcW w:w="621" w:type="pct"/>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定期开展密码应用安全性评估及攻防对抗演习</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szCs w:val="22"/>
              </w:rPr>
            </w:pPr>
            <w:r>
              <w:rPr>
                <w:rFonts w:hint="eastAsia" w:ascii="仿宋_GB2312" w:hAnsi="仿宋_GB2312" w:eastAsia="仿宋_GB2312" w:cs="仿宋_GB2312"/>
              </w:rPr>
              <w:t>中标方应验证被测系统运行过程中,是否严格执行既定的密码应用安全管理制度,是否定期开展密码应用安全性评估及攻防对抗演习,并根据评估结果进行整改。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46</w:t>
            </w:r>
          </w:p>
        </w:tc>
        <w:tc>
          <w:tcPr>
            <w:tcW w:w="621" w:type="pct"/>
            <w:vMerge w:val="restart"/>
            <w:tcBorders>
              <w:top w:val="single" w:color="auto" w:sz="4" w:space="0"/>
              <w:left w:val="single" w:color="auto" w:sz="4" w:space="0"/>
              <w:right w:val="single" w:color="auto" w:sz="4" w:space="0"/>
            </w:tcBorders>
            <w:vAlign w:val="center"/>
          </w:tcPr>
          <w:p>
            <w:pPr>
              <w:autoSpaceDE w:val="0"/>
              <w:autoSpaceDN w:val="0"/>
              <w:adjustRightInd w:val="0"/>
              <w:snapToGrid w:val="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应急处置</w:t>
            </w: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应急策略</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szCs w:val="22"/>
              </w:rPr>
            </w:pPr>
            <w:r>
              <w:rPr>
                <w:rFonts w:hint="eastAsia" w:ascii="仿宋_GB2312" w:hAnsi="仿宋_GB2312" w:eastAsia="仿宋_GB2312" w:cs="仿宋_GB2312"/>
              </w:rPr>
              <w:t>中标方应验证责任单位是否制定密码应用应急策略,做好应急资源准备,当密码应用安全事件发生时,是否立即启动应急处置揩施.结合实际情况及时处置;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47</w:t>
            </w:r>
          </w:p>
        </w:tc>
        <w:tc>
          <w:tcPr>
            <w:tcW w:w="621" w:type="pct"/>
            <w:vMerge w:val="continue"/>
            <w:tcBorders>
              <w:left w:val="single" w:color="auto" w:sz="4" w:space="0"/>
              <w:right w:val="single" w:color="auto" w:sz="4" w:space="0"/>
            </w:tcBorders>
            <w:vAlign w:val="center"/>
          </w:tcPr>
          <w:p>
            <w:pPr>
              <w:autoSpaceDE w:val="0"/>
              <w:autoSpaceDN w:val="0"/>
              <w:adjustRightInd w:val="0"/>
              <w:snapToGrid w:val="0"/>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事件处置</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中标方应验证责任单位在密码应用安全事件发生后,是否及时向信息系统主管部门及归属的密码管理部门进行报告;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48</w:t>
            </w:r>
          </w:p>
        </w:tc>
        <w:tc>
          <w:tcPr>
            <w:tcW w:w="621" w:type="pct"/>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_GB2312" w:hAnsi="仿宋_GB2312" w:eastAsia="仿宋_GB2312" w:cs="仿宋_GB2312"/>
                <w:kern w:val="0"/>
                <w:szCs w:val="21"/>
              </w:rPr>
            </w:pPr>
          </w:p>
        </w:tc>
        <w:tc>
          <w:tcPr>
            <w:tcW w:w="90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向有关主管部门上报处置情况</w:t>
            </w:r>
          </w:p>
        </w:tc>
        <w:tc>
          <w:tcPr>
            <w:tcW w:w="30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中标方应验证责任单位在密码应用安全事件处置完成后,是否及时向信息系统主管部门及归属的密码管理部门报告事件发生情况及处置情况。</w:t>
            </w:r>
          </w:p>
        </w:tc>
      </w:tr>
    </w:tbl>
    <w:p>
      <w:pPr>
        <w:pStyle w:val="30"/>
        <w:ind w:firstLine="0" w:firstLineChars="0"/>
        <w:jc w:val="left"/>
        <w:rPr>
          <w:rFonts w:hint="eastAsia" w:ascii="仿宋_GB2312" w:hAnsi="仿宋_GB2312" w:eastAsia="仿宋_GB2312" w:cs="仿宋_GB2312"/>
        </w:rPr>
      </w:pPr>
    </w:p>
    <w:p>
      <w:pPr>
        <w:pStyle w:val="3"/>
        <w:spacing w:before="120" w:after="120" w:line="360" w:lineRule="auto"/>
        <w:rPr>
          <w:rFonts w:hint="eastAsia" w:ascii="黑体" w:hAnsi="黑体" w:eastAsia="黑体" w:cs="黑体"/>
          <w:b/>
          <w:bCs w:val="0"/>
          <w:sz w:val="24"/>
          <w:szCs w:val="24"/>
        </w:rPr>
      </w:pPr>
      <w:bookmarkStart w:id="3" w:name="_Toc23072257"/>
      <w:r>
        <w:rPr>
          <w:rFonts w:hint="eastAsia" w:ascii="黑体" w:hAnsi="黑体" w:eastAsia="黑体" w:cs="黑体"/>
          <w:b/>
          <w:bCs w:val="0"/>
          <w:color w:val="000000" w:themeColor="text1"/>
          <w:kern w:val="2"/>
          <w:sz w:val="24"/>
          <w:szCs w:val="28"/>
          <w:lang w:val="en-US" w:eastAsia="zh-CN" w:bidi="ar-SA"/>
          <w14:textFill>
            <w14:solidFill>
              <w14:schemeClr w14:val="tx1"/>
            </w14:solidFill>
          </w14:textFill>
        </w:rPr>
        <w:t>4.4、服务要求</w:t>
      </w:r>
      <w:bookmarkEnd w:id="3"/>
    </w:p>
    <w:p>
      <w:pPr>
        <w:pStyle w:val="2"/>
        <w:spacing w:before="0" w:after="0" w:line="360" w:lineRule="auto"/>
        <w:rPr>
          <w:rFonts w:hint="eastAsia" w:ascii="黑体" w:hAnsi="黑体" w:eastAsia="黑体" w:cs="黑体"/>
          <w:sz w:val="24"/>
          <w:szCs w:val="24"/>
        </w:rPr>
      </w:pPr>
      <w:bookmarkStart w:id="4" w:name="_Toc23072258"/>
      <w:r>
        <w:rPr>
          <w:rFonts w:hint="eastAsia" w:ascii="黑体" w:hAnsi="黑体" w:eastAsia="黑体" w:cs="黑体"/>
          <w:sz w:val="24"/>
          <w:szCs w:val="24"/>
          <w:lang w:val="en-US" w:eastAsia="zh-CN"/>
        </w:rPr>
        <w:t>4.4</w:t>
      </w:r>
      <w:r>
        <w:rPr>
          <w:rFonts w:hint="eastAsia" w:ascii="黑体" w:hAnsi="黑体" w:eastAsia="黑体" w:cs="黑体"/>
          <w:sz w:val="24"/>
          <w:szCs w:val="24"/>
        </w:rPr>
        <w:t>.1 实施要求</w:t>
      </w:r>
      <w:bookmarkEnd w:id="4"/>
      <w:r>
        <w:rPr>
          <w:rFonts w:hint="eastAsia" w:ascii="黑体" w:hAnsi="黑体" w:eastAsia="黑体" w:cs="黑体"/>
          <w:sz w:val="24"/>
          <w:szCs w:val="24"/>
        </w:rPr>
        <w:t xml:space="preserve"> </w:t>
      </w:r>
    </w:p>
    <w:p>
      <w:pPr>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rPr>
        <w:t>本次项目测评实施及安全服务必须满足以下要求：</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最小影响要求：投标人在测评实施过程中必须保证系统的正常运行，不得导致系统运行中断或服务性能明显下降，尽可能降低对系统的负面影响。在进行有风险的操作前必须出具书面材料，明确风险提示，指导采购人做好应急措施，征得采购人书面许可后并选择业务低峰期进行下一步操作。 </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保密要求：对测评或技术服务过程中获取的信息严格保密，包括但不限于采购人网络拓扑结构、IP地址、业务流程、业务数据、安全隐患等，未经授权不得泄露给任何单位和个人，不得利用保密信息进行任何侵害采购人的合法权益。 </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、客观公正性要求：项目实施过程中，必须接受采购人的监督，每个测评环节完成后均由采购人进行审核确认，确保测评工作客观公正性。  </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规范性要求：测评实施等必须严格按照国家商用密码应用安全性评估相关标准进行。投标人须有严格质量控制体系,具备ISO9001质量认证体系或ISO20000或CNAS检验机构认可资质，并参照ISO9001或ISO20000或CNAS检验检测体系流程规范实施过程。 </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、可控性要求：项目实施必须制定严格的实施计划及进度安排，经采购人审核确认后执行，确保项目实施的可控性。 </w:t>
      </w:r>
    </w:p>
    <w:p>
      <w:pPr>
        <w:pStyle w:val="2"/>
        <w:spacing w:before="0" w:after="0" w:line="360" w:lineRule="auto"/>
        <w:rPr>
          <w:rFonts w:hint="eastAsia" w:ascii="黑体" w:hAnsi="黑体" w:eastAsia="黑体" w:cs="黑体"/>
          <w:sz w:val="24"/>
          <w:szCs w:val="24"/>
        </w:rPr>
      </w:pPr>
      <w:bookmarkStart w:id="5" w:name="_Toc23072261"/>
      <w:r>
        <w:rPr>
          <w:rFonts w:hint="eastAsia" w:ascii="黑体" w:hAnsi="黑体" w:eastAsia="黑体" w:cs="黑体"/>
          <w:sz w:val="24"/>
          <w:szCs w:val="24"/>
          <w:lang w:val="en-US" w:eastAsia="zh-CN"/>
        </w:rPr>
        <w:t>4.4</w:t>
      </w:r>
      <w:r>
        <w:rPr>
          <w:rFonts w:hint="eastAsia" w:ascii="黑体" w:hAnsi="黑体" w:eastAsia="黑体" w:cs="黑体"/>
          <w:sz w:val="24"/>
          <w:szCs w:val="24"/>
        </w:rPr>
        <w:t>.2 人员要求</w:t>
      </w:r>
      <w:bookmarkEnd w:id="5"/>
      <w:r>
        <w:rPr>
          <w:rFonts w:hint="eastAsia" w:ascii="黑体" w:hAnsi="黑体" w:eastAsia="黑体" w:cs="黑体"/>
          <w:sz w:val="24"/>
          <w:szCs w:val="24"/>
        </w:rPr>
        <w:t xml:space="preserve"> </w:t>
      </w:r>
    </w:p>
    <w:p>
      <w:pPr>
        <w:spacing w:line="360" w:lineRule="auto"/>
        <w:ind w:firstLine="480" w:firstLineChars="200"/>
        <w:rPr>
          <w:rFonts w:hint="eastAsia" w:ascii="仿宋_GB2312" w:hAnsi="仿宋_GB2312" w:eastAsia="仿宋_GB2312" w:cs="仿宋_GB2312"/>
          <w:bCs/>
          <w:color w:val="000000"/>
          <w:sz w:val="24"/>
          <w:szCs w:val="22"/>
        </w:rPr>
      </w:pPr>
      <w:r>
        <w:rPr>
          <w:rFonts w:hint="eastAsia" w:ascii="仿宋_GB2312" w:hAnsi="仿宋_GB2312" w:eastAsia="仿宋_GB2312" w:cs="仿宋_GB2312"/>
          <w:bCs/>
          <w:color w:val="000000"/>
          <w:sz w:val="24"/>
        </w:rPr>
        <w:t>参与项目的测评人员不少于5人，需具备专业的测评能力，参与商用密码应用安全性评估的人员需具备商用密码应用安全性评估人员测评能力考核资质证书。其中技术负责人须具备CISP</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高级信息系统项目管理师、</w:t>
      </w:r>
      <w:r>
        <w:rPr>
          <w:rFonts w:hint="eastAsia" w:ascii="仿宋_GB2312" w:hAnsi="仿宋_GB2312" w:eastAsia="仿宋_GB2312" w:cs="仿宋_GB2312"/>
          <w:sz w:val="24"/>
        </w:rPr>
        <w:t>网络规划设计师</w:t>
      </w:r>
      <w:r>
        <w:rPr>
          <w:rFonts w:hint="eastAsia" w:ascii="仿宋_GB2312" w:hAnsi="仿宋_GB2312" w:eastAsia="仿宋_GB2312" w:cs="仿宋_GB2312"/>
          <w:sz w:val="24"/>
          <w:lang w:val="en-US" w:eastAsia="zh-CN"/>
        </w:rPr>
        <w:t>之一的</w:t>
      </w:r>
      <w:r>
        <w:rPr>
          <w:rFonts w:hint="eastAsia" w:ascii="仿宋_GB2312" w:hAnsi="仿宋_GB2312" w:eastAsia="仿宋_GB2312" w:cs="仿宋_GB2312"/>
          <w:bCs/>
          <w:color w:val="000000"/>
          <w:sz w:val="24"/>
        </w:rPr>
        <w:t>高级资质证书，</w:t>
      </w:r>
      <w:r>
        <w:rPr>
          <w:rFonts w:hint="eastAsia" w:ascii="仿宋_GB2312" w:hAnsi="仿宋_GB2312" w:eastAsia="仿宋_GB2312" w:cs="仿宋_GB2312"/>
          <w:bCs/>
          <w:color w:val="000000"/>
          <w:sz w:val="24"/>
          <w:lang w:val="en-US" w:eastAsia="zh-CN"/>
        </w:rPr>
        <w:t>且</w:t>
      </w:r>
      <w:r>
        <w:rPr>
          <w:rFonts w:hint="eastAsia" w:ascii="仿宋_GB2312" w:hAnsi="仿宋_GB2312" w:eastAsia="仿宋_GB2312" w:cs="仿宋_GB2312"/>
          <w:bCs/>
          <w:color w:val="000000"/>
          <w:sz w:val="24"/>
        </w:rPr>
        <w:t>具备丰富的技术和项目管理能力。</w:t>
      </w:r>
    </w:p>
    <w:p>
      <w:pPr>
        <w:pStyle w:val="2"/>
        <w:spacing w:before="0" w:after="0" w:line="360" w:lineRule="auto"/>
        <w:rPr>
          <w:rFonts w:hint="eastAsia" w:ascii="黑体" w:hAnsi="黑体" w:eastAsia="黑体" w:cs="黑体"/>
          <w:sz w:val="24"/>
          <w:szCs w:val="24"/>
        </w:rPr>
      </w:pPr>
      <w:r>
        <w:rPr>
          <w:rFonts w:hint="eastAsia" w:ascii="黑体" w:hAnsi="黑体" w:eastAsia="黑体" w:cs="黑体"/>
          <w:sz w:val="24"/>
          <w:szCs w:val="24"/>
          <w:lang w:val="en-US" w:eastAsia="zh-CN"/>
        </w:rPr>
        <w:t>4.4</w:t>
      </w:r>
      <w:r>
        <w:rPr>
          <w:rFonts w:hint="eastAsia" w:ascii="黑体" w:hAnsi="黑体" w:eastAsia="黑体" w:cs="黑体"/>
          <w:sz w:val="24"/>
          <w:szCs w:val="24"/>
        </w:rPr>
        <w:t xml:space="preserve">.3 商务要求 </w:t>
      </w:r>
    </w:p>
    <w:p>
      <w:pPr>
        <w:pStyle w:val="4"/>
        <w:spacing w:before="0" w:after="0"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4.4.3.1投标要求</w:t>
      </w:r>
    </w:p>
    <w:p>
      <w:pPr>
        <w:spacing w:line="360" w:lineRule="auto"/>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1)投标人应仔细阅读采购需求文件的所有内容，按要求编制投标文件，并对采购需求文件做出实质性响应，并保证所提供全部资料的真实性。</w:t>
      </w:r>
    </w:p>
    <w:p>
      <w:pPr>
        <w:spacing w:line="360" w:lineRule="auto"/>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2)投标人应承担本项目的相关保密义务。未经采购人书面同意，不得将本项目相关信息透露给任何第三方。</w:t>
      </w:r>
    </w:p>
    <w:p>
      <w:pPr>
        <w:spacing w:line="360" w:lineRule="auto"/>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3)投标人不得以任何方式转包或分包本项目。</w:t>
      </w:r>
    </w:p>
    <w:p>
      <w:pPr>
        <w:pStyle w:val="4"/>
        <w:spacing w:before="0" w:after="0"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4.4.3.2报价要求</w:t>
      </w:r>
    </w:p>
    <w:p>
      <w:pPr>
        <w:spacing w:line="360" w:lineRule="auto"/>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投标总报价须为人民币报价，且应是交钥匙工程（包含：相关手续费、软件使用及版权费用、人工费、通讯费、运输费、培训费、交通费、调研费、文献查阅、资料装订印刷费等完成本项目的所有相关费用）。因投标人自身原因造成漏报、少报的，或在合同实施过程中可能发生的其它费用（如：工期延迟、材料涨价、人工及交通成本增加等因素），应由其自行承担责任，采购人不再补偿。</w:t>
      </w:r>
    </w:p>
    <w:p>
      <w:pPr>
        <w:pStyle w:val="4"/>
        <w:spacing w:before="0" w:after="0"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4.4.3.3知识产权</w:t>
      </w:r>
    </w:p>
    <w:p>
      <w:pPr>
        <w:spacing w:line="360" w:lineRule="auto"/>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1)投标人必须保证采购人在接受其所提供服务期的任何时候不受到知识产权或版权的纠纷，否则由此产生的任何责任完全由投标人承担。</w:t>
      </w:r>
    </w:p>
    <w:p>
      <w:pPr>
        <w:spacing w:line="360" w:lineRule="auto"/>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2)采购人拥有针对本项目形成的所有文档全部知识产权。未经采购人许可，投标人不得擅自使用全部或部分内容。</w:t>
      </w:r>
    </w:p>
    <w:p>
      <w:pPr>
        <w:pStyle w:val="4"/>
        <w:spacing w:before="0" w:after="0"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4.4.3.4合同签订</w:t>
      </w:r>
    </w:p>
    <w:p>
      <w:pPr>
        <w:spacing w:line="360" w:lineRule="auto"/>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投标人中标后，持相关证明与采购人签订合同。本项目招标文件、投标人投标文件均作为合同签订的基础。</w:t>
      </w:r>
    </w:p>
    <w:p>
      <w:pPr>
        <w:pStyle w:val="4"/>
        <w:spacing w:before="0" w:after="0"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4.4.3.5付款方式</w:t>
      </w:r>
    </w:p>
    <w:p>
      <w:pPr>
        <w:spacing w:line="360" w:lineRule="auto"/>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按合同约定执行。</w:t>
      </w:r>
    </w:p>
    <w:p>
      <w:pPr>
        <w:spacing w:line="360" w:lineRule="auto"/>
        <w:ind w:firstLine="482" w:firstLineChars="200"/>
        <w:rPr>
          <w:rFonts w:hint="eastAsia" w:ascii="仿宋_GB2312" w:hAnsi="Times New Roman" w:eastAsia="仿宋_GB2312"/>
          <w:b/>
          <w:color w:val="000000" w:themeColor="text1"/>
          <w:sz w:val="24"/>
          <w:szCs w:val="28"/>
          <w14:textFill>
            <w14:solidFill>
              <w14:schemeClr w14:val="tx1"/>
            </w14:solidFill>
          </w14:textFill>
        </w:rPr>
      </w:pPr>
    </w:p>
    <w:sectPr>
      <w:headerReference r:id="rId4" w:type="first"/>
      <w:footerReference r:id="rId5" w:type="default"/>
      <w:headerReference r:id="rId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alatino Linotype">
    <w:panose1 w:val="02040502050505030304"/>
    <w:charset w:val="00"/>
    <w:family w:val="roman"/>
    <w:pitch w:val="default"/>
    <w:sig w:usb0="E0000287" w:usb1="40000013"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0522455"/>
    </w:sdtPr>
    <w:sdtContent>
      <w:p>
        <w:pPr>
          <w:pStyle w:val="14"/>
          <w:jc w:val="center"/>
        </w:pPr>
        <w:r>
          <w:fldChar w:fldCharType="begin"/>
        </w:r>
        <w:r>
          <w:instrText xml:space="preserve">PAGE   \* MERGEFORMAT</w:instrText>
        </w:r>
        <w:r>
          <w:fldChar w:fldCharType="separate"/>
        </w:r>
        <w:r>
          <w:rPr>
            <w:lang w:val="zh-CN"/>
          </w:rPr>
          <w:t>5</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68595" cy="5277485"/>
          <wp:effectExtent l="0" t="0" r="4445" b="10795"/>
          <wp:wrapNone/>
          <wp:docPr id="4" name="WordPictureWatermark601954985" descr="东方网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601954985" descr="东方网盾"/>
                  <pic:cNvPicPr>
                    <a:picLocks noChangeAspect="1"/>
                  </pic:cNvPicPr>
                </pic:nvPicPr>
                <pic:blipFill>
                  <a:blip r:embed="rId1"/>
                  <a:stretch>
                    <a:fillRect/>
                  </a:stretch>
                </pic:blipFill>
                <pic:spPr>
                  <a:xfrm>
                    <a:off x="0" y="0"/>
                    <a:ext cx="5268595" cy="527748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68595" cy="5277485"/>
          <wp:effectExtent l="0" t="0" r="4445" b="10795"/>
          <wp:wrapNone/>
          <wp:docPr id="1" name="WordPictureWatermark601954984" descr="东方网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01954984" descr="东方网盾"/>
                  <pic:cNvPicPr>
                    <a:picLocks noChangeAspect="1"/>
                  </pic:cNvPicPr>
                </pic:nvPicPr>
                <pic:blipFill>
                  <a:blip r:embed="rId1"/>
                  <a:stretch>
                    <a:fillRect/>
                  </a:stretch>
                </pic:blipFill>
                <pic:spPr>
                  <a:xfrm>
                    <a:off x="0" y="0"/>
                    <a:ext cx="5268595" cy="52774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99052"/>
    <w:multiLevelType w:val="singleLevel"/>
    <w:tmpl w:val="EDD99052"/>
    <w:lvl w:ilvl="0" w:tentative="0">
      <w:start w:val="1"/>
      <w:numFmt w:val="chineseCounting"/>
      <w:suff w:val="nothing"/>
      <w:lvlText w:val="%1、"/>
      <w:lvlJc w:val="left"/>
      <w:rPr>
        <w:rFonts w:hint="eastAsia"/>
      </w:rPr>
    </w:lvl>
  </w:abstractNum>
  <w:abstractNum w:abstractNumId="1">
    <w:nsid w:val="44E7203A"/>
    <w:multiLevelType w:val="multilevel"/>
    <w:tmpl w:val="44E7203A"/>
    <w:lvl w:ilvl="0" w:tentative="0">
      <w:start w:val="1"/>
      <w:numFmt w:val="decimal"/>
      <w:pStyle w:val="36"/>
      <w:suff w:val="space"/>
      <w:lvlText w:val="%1."/>
      <w:lvlJc w:val="left"/>
      <w:pPr>
        <w:ind w:left="420" w:hanging="420"/>
      </w:pPr>
      <w:rPr>
        <w:rFonts w:hint="default" w:ascii="Times New Roman" w:hAnsi="Times New Roman" w:eastAsia="宋体" w:cs="Times New Roman"/>
        <w:b/>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097B50"/>
    <w:multiLevelType w:val="multilevel"/>
    <w:tmpl w:val="4A097B5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02"/>
    <w:rsid w:val="0000397D"/>
    <w:rsid w:val="00011F82"/>
    <w:rsid w:val="00015D93"/>
    <w:rsid w:val="00020934"/>
    <w:rsid w:val="000228A3"/>
    <w:rsid w:val="00055AF1"/>
    <w:rsid w:val="000664C2"/>
    <w:rsid w:val="00066D90"/>
    <w:rsid w:val="00075852"/>
    <w:rsid w:val="000823EE"/>
    <w:rsid w:val="000A3E96"/>
    <w:rsid w:val="000A6782"/>
    <w:rsid w:val="000C69AD"/>
    <w:rsid w:val="000E7A7C"/>
    <w:rsid w:val="0013201C"/>
    <w:rsid w:val="0013555E"/>
    <w:rsid w:val="0015033B"/>
    <w:rsid w:val="0015106F"/>
    <w:rsid w:val="00154C01"/>
    <w:rsid w:val="0016075F"/>
    <w:rsid w:val="00163A9D"/>
    <w:rsid w:val="00187A78"/>
    <w:rsid w:val="00187B13"/>
    <w:rsid w:val="001A73DA"/>
    <w:rsid w:val="001B3F5F"/>
    <w:rsid w:val="001C5CD2"/>
    <w:rsid w:val="001D0606"/>
    <w:rsid w:val="001E0DE9"/>
    <w:rsid w:val="001F63F4"/>
    <w:rsid w:val="00206798"/>
    <w:rsid w:val="0021351A"/>
    <w:rsid w:val="00226B6C"/>
    <w:rsid w:val="0024423E"/>
    <w:rsid w:val="002560A3"/>
    <w:rsid w:val="00263E5A"/>
    <w:rsid w:val="002651EB"/>
    <w:rsid w:val="00270C74"/>
    <w:rsid w:val="00280A3B"/>
    <w:rsid w:val="002854CC"/>
    <w:rsid w:val="002946C3"/>
    <w:rsid w:val="00295978"/>
    <w:rsid w:val="002B4A43"/>
    <w:rsid w:val="002B67DF"/>
    <w:rsid w:val="002C2857"/>
    <w:rsid w:val="002C3C43"/>
    <w:rsid w:val="002D6AAF"/>
    <w:rsid w:val="0031414D"/>
    <w:rsid w:val="003331F7"/>
    <w:rsid w:val="003610DB"/>
    <w:rsid w:val="003640C8"/>
    <w:rsid w:val="00365809"/>
    <w:rsid w:val="003706FE"/>
    <w:rsid w:val="00371D19"/>
    <w:rsid w:val="0037260B"/>
    <w:rsid w:val="003745AD"/>
    <w:rsid w:val="0037510E"/>
    <w:rsid w:val="00391E3E"/>
    <w:rsid w:val="003B0E4A"/>
    <w:rsid w:val="003E5260"/>
    <w:rsid w:val="003F25BD"/>
    <w:rsid w:val="004206CD"/>
    <w:rsid w:val="00420C16"/>
    <w:rsid w:val="00421722"/>
    <w:rsid w:val="004220A3"/>
    <w:rsid w:val="00434FE2"/>
    <w:rsid w:val="00440D16"/>
    <w:rsid w:val="00451466"/>
    <w:rsid w:val="004523C7"/>
    <w:rsid w:val="00472A63"/>
    <w:rsid w:val="00473772"/>
    <w:rsid w:val="0047473B"/>
    <w:rsid w:val="00486D38"/>
    <w:rsid w:val="004872CF"/>
    <w:rsid w:val="004A075B"/>
    <w:rsid w:val="004A2DAC"/>
    <w:rsid w:val="004B0E22"/>
    <w:rsid w:val="004B5519"/>
    <w:rsid w:val="004E03FF"/>
    <w:rsid w:val="004F6A51"/>
    <w:rsid w:val="00501181"/>
    <w:rsid w:val="0056023E"/>
    <w:rsid w:val="00562592"/>
    <w:rsid w:val="00567582"/>
    <w:rsid w:val="005A06FF"/>
    <w:rsid w:val="005A3CAB"/>
    <w:rsid w:val="005B012F"/>
    <w:rsid w:val="005B650E"/>
    <w:rsid w:val="005C09CD"/>
    <w:rsid w:val="005D1BC8"/>
    <w:rsid w:val="005D1C0B"/>
    <w:rsid w:val="005F1ADB"/>
    <w:rsid w:val="00603D6B"/>
    <w:rsid w:val="00616776"/>
    <w:rsid w:val="00634F5A"/>
    <w:rsid w:val="006411D6"/>
    <w:rsid w:val="0066135F"/>
    <w:rsid w:val="00665ACE"/>
    <w:rsid w:val="00681FBA"/>
    <w:rsid w:val="006853F6"/>
    <w:rsid w:val="00694F8D"/>
    <w:rsid w:val="006A6CAD"/>
    <w:rsid w:val="006B36A5"/>
    <w:rsid w:val="006B3CEF"/>
    <w:rsid w:val="006B7818"/>
    <w:rsid w:val="006D6FF3"/>
    <w:rsid w:val="006F3B4D"/>
    <w:rsid w:val="00705A62"/>
    <w:rsid w:val="00705AAA"/>
    <w:rsid w:val="00713CF1"/>
    <w:rsid w:val="00722964"/>
    <w:rsid w:val="0072441A"/>
    <w:rsid w:val="00732FD4"/>
    <w:rsid w:val="007370AF"/>
    <w:rsid w:val="00755CB5"/>
    <w:rsid w:val="00757D70"/>
    <w:rsid w:val="00757E29"/>
    <w:rsid w:val="007708AE"/>
    <w:rsid w:val="00776DCA"/>
    <w:rsid w:val="00790EFB"/>
    <w:rsid w:val="007971B0"/>
    <w:rsid w:val="007A2851"/>
    <w:rsid w:val="007A3933"/>
    <w:rsid w:val="007A6DD2"/>
    <w:rsid w:val="007A7596"/>
    <w:rsid w:val="007B01B3"/>
    <w:rsid w:val="007E0A2E"/>
    <w:rsid w:val="007E68D7"/>
    <w:rsid w:val="007F7460"/>
    <w:rsid w:val="007F7700"/>
    <w:rsid w:val="00815E7B"/>
    <w:rsid w:val="008210A2"/>
    <w:rsid w:val="00834BDC"/>
    <w:rsid w:val="008405E7"/>
    <w:rsid w:val="00845481"/>
    <w:rsid w:val="00855471"/>
    <w:rsid w:val="00856417"/>
    <w:rsid w:val="00864252"/>
    <w:rsid w:val="0087275D"/>
    <w:rsid w:val="00880F5A"/>
    <w:rsid w:val="008820B2"/>
    <w:rsid w:val="00887531"/>
    <w:rsid w:val="0089724F"/>
    <w:rsid w:val="008B1FC6"/>
    <w:rsid w:val="008B323E"/>
    <w:rsid w:val="00906851"/>
    <w:rsid w:val="00911BF1"/>
    <w:rsid w:val="0092067D"/>
    <w:rsid w:val="00940AAC"/>
    <w:rsid w:val="00943410"/>
    <w:rsid w:val="00952245"/>
    <w:rsid w:val="00965802"/>
    <w:rsid w:val="00981578"/>
    <w:rsid w:val="009951AA"/>
    <w:rsid w:val="009A1D47"/>
    <w:rsid w:val="009B612D"/>
    <w:rsid w:val="009C7207"/>
    <w:rsid w:val="009C78D5"/>
    <w:rsid w:val="009D4010"/>
    <w:rsid w:val="009E1053"/>
    <w:rsid w:val="009E319F"/>
    <w:rsid w:val="009E3990"/>
    <w:rsid w:val="009F6893"/>
    <w:rsid w:val="00A05B7A"/>
    <w:rsid w:val="00A1523D"/>
    <w:rsid w:val="00A15BBC"/>
    <w:rsid w:val="00A25C3F"/>
    <w:rsid w:val="00A32BE1"/>
    <w:rsid w:val="00A4781A"/>
    <w:rsid w:val="00A726A7"/>
    <w:rsid w:val="00A73BFB"/>
    <w:rsid w:val="00A75497"/>
    <w:rsid w:val="00A81B43"/>
    <w:rsid w:val="00A94263"/>
    <w:rsid w:val="00A94856"/>
    <w:rsid w:val="00AA2170"/>
    <w:rsid w:val="00AA567B"/>
    <w:rsid w:val="00AB1A9B"/>
    <w:rsid w:val="00AB7867"/>
    <w:rsid w:val="00AC5912"/>
    <w:rsid w:val="00AD7F35"/>
    <w:rsid w:val="00AE0490"/>
    <w:rsid w:val="00AE0E31"/>
    <w:rsid w:val="00AE2CAE"/>
    <w:rsid w:val="00AF1CE7"/>
    <w:rsid w:val="00AF6448"/>
    <w:rsid w:val="00B00E73"/>
    <w:rsid w:val="00B16EFA"/>
    <w:rsid w:val="00B36FC3"/>
    <w:rsid w:val="00B4360B"/>
    <w:rsid w:val="00B43985"/>
    <w:rsid w:val="00B44301"/>
    <w:rsid w:val="00B472A3"/>
    <w:rsid w:val="00B510DF"/>
    <w:rsid w:val="00B537B8"/>
    <w:rsid w:val="00B60B86"/>
    <w:rsid w:val="00B72E33"/>
    <w:rsid w:val="00B827A8"/>
    <w:rsid w:val="00BA0A16"/>
    <w:rsid w:val="00BA4699"/>
    <w:rsid w:val="00BD6F94"/>
    <w:rsid w:val="00BE5DE7"/>
    <w:rsid w:val="00BF2C08"/>
    <w:rsid w:val="00C06764"/>
    <w:rsid w:val="00C167DB"/>
    <w:rsid w:val="00C2348A"/>
    <w:rsid w:val="00C24FED"/>
    <w:rsid w:val="00C61D11"/>
    <w:rsid w:val="00C76719"/>
    <w:rsid w:val="00C817D3"/>
    <w:rsid w:val="00CB13CE"/>
    <w:rsid w:val="00CB3654"/>
    <w:rsid w:val="00CC00E4"/>
    <w:rsid w:val="00CD57B0"/>
    <w:rsid w:val="00CE22F8"/>
    <w:rsid w:val="00CF7BF7"/>
    <w:rsid w:val="00D00702"/>
    <w:rsid w:val="00D01418"/>
    <w:rsid w:val="00D0278A"/>
    <w:rsid w:val="00D133CC"/>
    <w:rsid w:val="00D20032"/>
    <w:rsid w:val="00D24BEE"/>
    <w:rsid w:val="00D31656"/>
    <w:rsid w:val="00D33ED3"/>
    <w:rsid w:val="00D3501E"/>
    <w:rsid w:val="00D43374"/>
    <w:rsid w:val="00D44FED"/>
    <w:rsid w:val="00D4757A"/>
    <w:rsid w:val="00D720C5"/>
    <w:rsid w:val="00D72B6C"/>
    <w:rsid w:val="00D82510"/>
    <w:rsid w:val="00D90C9E"/>
    <w:rsid w:val="00D95376"/>
    <w:rsid w:val="00DA3F31"/>
    <w:rsid w:val="00DD3FA4"/>
    <w:rsid w:val="00DF2F6E"/>
    <w:rsid w:val="00DF5512"/>
    <w:rsid w:val="00E05F3F"/>
    <w:rsid w:val="00E1184D"/>
    <w:rsid w:val="00E12B87"/>
    <w:rsid w:val="00E23D3F"/>
    <w:rsid w:val="00E247A0"/>
    <w:rsid w:val="00E3743B"/>
    <w:rsid w:val="00E5746C"/>
    <w:rsid w:val="00E70BD9"/>
    <w:rsid w:val="00E731A6"/>
    <w:rsid w:val="00E75333"/>
    <w:rsid w:val="00E92CF2"/>
    <w:rsid w:val="00E92F35"/>
    <w:rsid w:val="00EB796D"/>
    <w:rsid w:val="00EC0584"/>
    <w:rsid w:val="00EC0ADD"/>
    <w:rsid w:val="00ED790E"/>
    <w:rsid w:val="00EF3758"/>
    <w:rsid w:val="00F03297"/>
    <w:rsid w:val="00F118D5"/>
    <w:rsid w:val="00F17105"/>
    <w:rsid w:val="00F2542E"/>
    <w:rsid w:val="00F25742"/>
    <w:rsid w:val="00F55452"/>
    <w:rsid w:val="00FA5003"/>
    <w:rsid w:val="00FC2BC4"/>
    <w:rsid w:val="00FC7067"/>
    <w:rsid w:val="00FC7214"/>
    <w:rsid w:val="00FD2B1F"/>
    <w:rsid w:val="00FD4DE7"/>
    <w:rsid w:val="00FD62AB"/>
    <w:rsid w:val="00FF5B17"/>
    <w:rsid w:val="012D2896"/>
    <w:rsid w:val="0165286B"/>
    <w:rsid w:val="01B97D36"/>
    <w:rsid w:val="01C82E81"/>
    <w:rsid w:val="02AC4E2F"/>
    <w:rsid w:val="032F3F05"/>
    <w:rsid w:val="035937A7"/>
    <w:rsid w:val="036A7102"/>
    <w:rsid w:val="04C843A4"/>
    <w:rsid w:val="05D1057B"/>
    <w:rsid w:val="062A39BB"/>
    <w:rsid w:val="06770223"/>
    <w:rsid w:val="06DF59D9"/>
    <w:rsid w:val="07027707"/>
    <w:rsid w:val="07B76EE2"/>
    <w:rsid w:val="07DD720A"/>
    <w:rsid w:val="09412A8B"/>
    <w:rsid w:val="096C7521"/>
    <w:rsid w:val="0A133186"/>
    <w:rsid w:val="0B6872CD"/>
    <w:rsid w:val="0CAF48B4"/>
    <w:rsid w:val="0CBB5D60"/>
    <w:rsid w:val="0CCF21E0"/>
    <w:rsid w:val="0DB03E3B"/>
    <w:rsid w:val="0E7741AD"/>
    <w:rsid w:val="0EB466E2"/>
    <w:rsid w:val="0F9F5A61"/>
    <w:rsid w:val="1039705E"/>
    <w:rsid w:val="1093224D"/>
    <w:rsid w:val="11811C96"/>
    <w:rsid w:val="12656033"/>
    <w:rsid w:val="12E434A2"/>
    <w:rsid w:val="13342957"/>
    <w:rsid w:val="1370649F"/>
    <w:rsid w:val="139A55DE"/>
    <w:rsid w:val="14690572"/>
    <w:rsid w:val="14D2757D"/>
    <w:rsid w:val="158572D0"/>
    <w:rsid w:val="15E267BD"/>
    <w:rsid w:val="16443E04"/>
    <w:rsid w:val="166D2936"/>
    <w:rsid w:val="17C40EEA"/>
    <w:rsid w:val="187C25ED"/>
    <w:rsid w:val="19BB50C9"/>
    <w:rsid w:val="19C8169D"/>
    <w:rsid w:val="1ADA7353"/>
    <w:rsid w:val="1AE75E69"/>
    <w:rsid w:val="1B2A3191"/>
    <w:rsid w:val="1B7A01B8"/>
    <w:rsid w:val="1BC1194A"/>
    <w:rsid w:val="1BD17592"/>
    <w:rsid w:val="1BDD697C"/>
    <w:rsid w:val="1D7B5CFB"/>
    <w:rsid w:val="1E7C16A3"/>
    <w:rsid w:val="1EFE36B1"/>
    <w:rsid w:val="1F896488"/>
    <w:rsid w:val="1F8C0DC6"/>
    <w:rsid w:val="1F9D0520"/>
    <w:rsid w:val="1FB816CA"/>
    <w:rsid w:val="200A3790"/>
    <w:rsid w:val="2021056B"/>
    <w:rsid w:val="20B0128D"/>
    <w:rsid w:val="21BF1B90"/>
    <w:rsid w:val="21C93E60"/>
    <w:rsid w:val="220C1D99"/>
    <w:rsid w:val="22CD0C85"/>
    <w:rsid w:val="22E449E3"/>
    <w:rsid w:val="23F20E6C"/>
    <w:rsid w:val="243C1312"/>
    <w:rsid w:val="2482280F"/>
    <w:rsid w:val="259D0833"/>
    <w:rsid w:val="264C5559"/>
    <w:rsid w:val="274E0994"/>
    <w:rsid w:val="27A25300"/>
    <w:rsid w:val="29090913"/>
    <w:rsid w:val="2AD3501C"/>
    <w:rsid w:val="2B437DBA"/>
    <w:rsid w:val="2BE4542F"/>
    <w:rsid w:val="2C5264D5"/>
    <w:rsid w:val="2C6B78CE"/>
    <w:rsid w:val="2C8A2449"/>
    <w:rsid w:val="2CAE78BA"/>
    <w:rsid w:val="2CB43679"/>
    <w:rsid w:val="2CCC3747"/>
    <w:rsid w:val="2CD452A0"/>
    <w:rsid w:val="2CF94F91"/>
    <w:rsid w:val="2E0322E2"/>
    <w:rsid w:val="2EA71BE2"/>
    <w:rsid w:val="2EDC5CDD"/>
    <w:rsid w:val="2EFD39C6"/>
    <w:rsid w:val="303214AC"/>
    <w:rsid w:val="30902A66"/>
    <w:rsid w:val="31083A42"/>
    <w:rsid w:val="31496A1A"/>
    <w:rsid w:val="3167020F"/>
    <w:rsid w:val="317D4B7F"/>
    <w:rsid w:val="320927CC"/>
    <w:rsid w:val="33BC5835"/>
    <w:rsid w:val="344C0522"/>
    <w:rsid w:val="353B64BC"/>
    <w:rsid w:val="35C14F2B"/>
    <w:rsid w:val="36062F33"/>
    <w:rsid w:val="361C7248"/>
    <w:rsid w:val="361D3058"/>
    <w:rsid w:val="36ED4ACA"/>
    <w:rsid w:val="38541B8D"/>
    <w:rsid w:val="38783B2F"/>
    <w:rsid w:val="38F626CD"/>
    <w:rsid w:val="39290D08"/>
    <w:rsid w:val="398A5EA5"/>
    <w:rsid w:val="39EE1052"/>
    <w:rsid w:val="3A412220"/>
    <w:rsid w:val="3AA12CEF"/>
    <w:rsid w:val="3AC225A9"/>
    <w:rsid w:val="3B2C2E5C"/>
    <w:rsid w:val="3B7716C8"/>
    <w:rsid w:val="3B827375"/>
    <w:rsid w:val="3B834BE1"/>
    <w:rsid w:val="3CCD59A8"/>
    <w:rsid w:val="3D053D96"/>
    <w:rsid w:val="3DC97989"/>
    <w:rsid w:val="3DCE7464"/>
    <w:rsid w:val="3DE7663D"/>
    <w:rsid w:val="3DF212CE"/>
    <w:rsid w:val="3E731AD0"/>
    <w:rsid w:val="3F1F7414"/>
    <w:rsid w:val="40224036"/>
    <w:rsid w:val="404B5639"/>
    <w:rsid w:val="40613098"/>
    <w:rsid w:val="407C7E42"/>
    <w:rsid w:val="40CB784B"/>
    <w:rsid w:val="435220D9"/>
    <w:rsid w:val="43887AE8"/>
    <w:rsid w:val="43EA639E"/>
    <w:rsid w:val="43F175EC"/>
    <w:rsid w:val="442464C8"/>
    <w:rsid w:val="445443AD"/>
    <w:rsid w:val="4543580B"/>
    <w:rsid w:val="454F72A1"/>
    <w:rsid w:val="4554753A"/>
    <w:rsid w:val="45661416"/>
    <w:rsid w:val="46105F11"/>
    <w:rsid w:val="462319B2"/>
    <w:rsid w:val="46535859"/>
    <w:rsid w:val="467273F7"/>
    <w:rsid w:val="467E21A7"/>
    <w:rsid w:val="476A7149"/>
    <w:rsid w:val="489427C4"/>
    <w:rsid w:val="48AD259E"/>
    <w:rsid w:val="48DB12B5"/>
    <w:rsid w:val="49EC7BEC"/>
    <w:rsid w:val="4A1D6DFB"/>
    <w:rsid w:val="4A3445DF"/>
    <w:rsid w:val="4A533DBB"/>
    <w:rsid w:val="4B443E4D"/>
    <w:rsid w:val="4B5D1176"/>
    <w:rsid w:val="4D541B37"/>
    <w:rsid w:val="4DC46BDE"/>
    <w:rsid w:val="4F4D1398"/>
    <w:rsid w:val="4FD75C68"/>
    <w:rsid w:val="50AF25CC"/>
    <w:rsid w:val="50D66A73"/>
    <w:rsid w:val="50E33364"/>
    <w:rsid w:val="50E73A80"/>
    <w:rsid w:val="52053433"/>
    <w:rsid w:val="521A1BCF"/>
    <w:rsid w:val="52872AD7"/>
    <w:rsid w:val="52DC39EA"/>
    <w:rsid w:val="541103DB"/>
    <w:rsid w:val="54AB6013"/>
    <w:rsid w:val="54D77DAE"/>
    <w:rsid w:val="55D54508"/>
    <w:rsid w:val="56F367D4"/>
    <w:rsid w:val="57416B89"/>
    <w:rsid w:val="57A666D2"/>
    <w:rsid w:val="586A6CEF"/>
    <w:rsid w:val="59C1662C"/>
    <w:rsid w:val="59CB7611"/>
    <w:rsid w:val="59E82EB8"/>
    <w:rsid w:val="5A714B32"/>
    <w:rsid w:val="5B4D2121"/>
    <w:rsid w:val="5B4E1F0F"/>
    <w:rsid w:val="5CAC78BD"/>
    <w:rsid w:val="5CF22645"/>
    <w:rsid w:val="5D1C1773"/>
    <w:rsid w:val="5DE5681F"/>
    <w:rsid w:val="5E3F7584"/>
    <w:rsid w:val="5F777975"/>
    <w:rsid w:val="5F9167E7"/>
    <w:rsid w:val="5F92457D"/>
    <w:rsid w:val="5F9D3F4E"/>
    <w:rsid w:val="5FE80905"/>
    <w:rsid w:val="60EF5B44"/>
    <w:rsid w:val="617D2920"/>
    <w:rsid w:val="62667CF5"/>
    <w:rsid w:val="63203591"/>
    <w:rsid w:val="634C4104"/>
    <w:rsid w:val="63875A6F"/>
    <w:rsid w:val="63AA0083"/>
    <w:rsid w:val="63BC45FA"/>
    <w:rsid w:val="63E24172"/>
    <w:rsid w:val="63FD27A5"/>
    <w:rsid w:val="64F8643C"/>
    <w:rsid w:val="650F24AC"/>
    <w:rsid w:val="670149F7"/>
    <w:rsid w:val="673F5AF2"/>
    <w:rsid w:val="67945ED8"/>
    <w:rsid w:val="67CD3434"/>
    <w:rsid w:val="67D029EE"/>
    <w:rsid w:val="6864372C"/>
    <w:rsid w:val="687453F4"/>
    <w:rsid w:val="698A5790"/>
    <w:rsid w:val="6A134C9F"/>
    <w:rsid w:val="6BDE45F5"/>
    <w:rsid w:val="6EA109BD"/>
    <w:rsid w:val="6ED62E87"/>
    <w:rsid w:val="6F9A6FEE"/>
    <w:rsid w:val="6FB855A6"/>
    <w:rsid w:val="6FDC57FB"/>
    <w:rsid w:val="706A218D"/>
    <w:rsid w:val="70E26480"/>
    <w:rsid w:val="70FB2817"/>
    <w:rsid w:val="726523FE"/>
    <w:rsid w:val="727B196C"/>
    <w:rsid w:val="72806412"/>
    <w:rsid w:val="728C0D09"/>
    <w:rsid w:val="73336FE8"/>
    <w:rsid w:val="739418E0"/>
    <w:rsid w:val="74295C4F"/>
    <w:rsid w:val="764B6364"/>
    <w:rsid w:val="76A04633"/>
    <w:rsid w:val="772C046D"/>
    <w:rsid w:val="78F908FC"/>
    <w:rsid w:val="79E353AE"/>
    <w:rsid w:val="7A1C2382"/>
    <w:rsid w:val="7A2F4E65"/>
    <w:rsid w:val="7B023A95"/>
    <w:rsid w:val="7B3425FA"/>
    <w:rsid w:val="7B997E73"/>
    <w:rsid w:val="7C8C2CA9"/>
    <w:rsid w:val="7CBF3E1B"/>
    <w:rsid w:val="7CFC05AE"/>
    <w:rsid w:val="7D06212B"/>
    <w:rsid w:val="7DB54120"/>
    <w:rsid w:val="7DF024AE"/>
    <w:rsid w:val="7E6B5770"/>
    <w:rsid w:val="7EC15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qFormat/>
    <w:uiPriority w:val="0"/>
    <w:pPr>
      <w:keepNext/>
      <w:keepLines/>
      <w:tabs>
        <w:tab w:val="left" w:pos="1080"/>
      </w:tabs>
      <w:spacing w:before="260" w:after="260" w:line="360" w:lineRule="auto"/>
      <w:ind w:left="1080" w:hanging="720"/>
      <w:outlineLvl w:val="2"/>
    </w:pPr>
    <w:rPr>
      <w:sz w:val="24"/>
      <w:szCs w:val="20"/>
    </w:rPr>
  </w:style>
  <w:style w:type="paragraph" w:styleId="5">
    <w:name w:val="heading 4"/>
    <w:basedOn w:val="1"/>
    <w:next w:val="1"/>
    <w:link w:val="4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1"/>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42"/>
    <w:qFormat/>
    <w:uiPriority w:val="0"/>
    <w:pPr>
      <w:keepNext/>
      <w:keepLines/>
      <w:spacing w:before="240" w:after="64" w:line="320" w:lineRule="auto"/>
      <w:outlineLvl w:val="5"/>
    </w:pPr>
    <w:rPr>
      <w:rFonts w:ascii="等线 Light" w:hAnsi="等线 Light" w:eastAsia="等线 Light"/>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33"/>
    <w:unhideWhenUsed/>
    <w:qFormat/>
    <w:uiPriority w:val="99"/>
    <w:pPr>
      <w:ind w:firstLine="420"/>
    </w:pPr>
    <w:rPr>
      <w:rFonts w:asciiTheme="minorHAnsi" w:hAnsiTheme="minorHAnsi" w:eastAsiaTheme="minorEastAsia" w:cstheme="minorBidi"/>
      <w:szCs w:val="22"/>
    </w:rPr>
  </w:style>
  <w:style w:type="paragraph" w:styleId="9">
    <w:name w:val="annotation text"/>
    <w:basedOn w:val="1"/>
    <w:link w:val="52"/>
    <w:qFormat/>
    <w:uiPriority w:val="0"/>
    <w:pPr>
      <w:jc w:val="left"/>
    </w:pPr>
  </w:style>
  <w:style w:type="paragraph" w:styleId="10">
    <w:name w:val="Body Text"/>
    <w:basedOn w:val="1"/>
    <w:link w:val="56"/>
    <w:qFormat/>
    <w:uiPriority w:val="0"/>
    <w:pPr>
      <w:adjustRightInd w:val="0"/>
      <w:spacing w:line="480" w:lineRule="exact"/>
      <w:ind w:firstLine="200" w:firstLineChars="200"/>
      <w:textAlignment w:val="baseline"/>
    </w:pPr>
    <w:rPr>
      <w:rFonts w:ascii="仿宋_GB2312" w:eastAsia="仿宋_GB2312"/>
      <w:kern w:val="0"/>
      <w:sz w:val="28"/>
      <w:szCs w:val="20"/>
    </w:rPr>
  </w:style>
  <w:style w:type="paragraph" w:styleId="11">
    <w:name w:val="Body Text Indent"/>
    <w:basedOn w:val="1"/>
    <w:link w:val="53"/>
    <w:unhideWhenUsed/>
    <w:qFormat/>
    <w:uiPriority w:val="99"/>
    <w:pPr>
      <w:spacing w:after="120"/>
      <w:ind w:left="420" w:leftChars="200"/>
    </w:pPr>
  </w:style>
  <w:style w:type="paragraph" w:styleId="12">
    <w:name w:val="toc 3"/>
    <w:basedOn w:val="1"/>
    <w:next w:val="1"/>
    <w:qFormat/>
    <w:uiPriority w:val="39"/>
    <w:pPr>
      <w:ind w:left="840" w:leftChars="400"/>
    </w:pPr>
  </w:style>
  <w:style w:type="paragraph" w:styleId="13">
    <w:name w:val="Balloon Text"/>
    <w:basedOn w:val="1"/>
    <w:link w:val="48"/>
    <w:qFormat/>
    <w:uiPriority w:val="0"/>
    <w:rPr>
      <w:rFonts w:eastAsiaTheme="minorEastAsia" w:cstheme="minorBidi"/>
      <w:sz w:val="18"/>
      <w:szCs w:val="18"/>
    </w:rPr>
  </w:style>
  <w:style w:type="paragraph" w:styleId="14">
    <w:name w:val="footer"/>
    <w:basedOn w:val="1"/>
    <w:link w:val="3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32"/>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qFormat/>
    <w:uiPriority w:val="39"/>
  </w:style>
  <w:style w:type="paragraph" w:styleId="17">
    <w:name w:val="toc 4"/>
    <w:basedOn w:val="1"/>
    <w:next w:val="1"/>
    <w:qFormat/>
    <w:uiPriority w:val="39"/>
    <w:pPr>
      <w:ind w:left="1260" w:leftChars="600"/>
    </w:pPr>
  </w:style>
  <w:style w:type="paragraph" w:styleId="18">
    <w:name w:val="Subtitle"/>
    <w:basedOn w:val="1"/>
    <w:next w:val="1"/>
    <w:link w:val="71"/>
    <w:qFormat/>
    <w:uiPriority w:val="11"/>
    <w:pPr>
      <w:spacing w:after="600"/>
    </w:pPr>
    <w:rPr>
      <w:rFonts w:ascii="Cambria" w:hAnsi="Cambria"/>
      <w:i/>
      <w:iCs/>
      <w:spacing w:val="13"/>
      <w:sz w:val="24"/>
    </w:rPr>
  </w:style>
  <w:style w:type="paragraph" w:styleId="19">
    <w:name w:val="toc 2"/>
    <w:basedOn w:val="1"/>
    <w:next w:val="1"/>
    <w:qFormat/>
    <w:uiPriority w:val="39"/>
    <w:pPr>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Title"/>
    <w:basedOn w:val="1"/>
    <w:link w:val="55"/>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70"/>
    <w:semiHidden/>
    <w:unhideWhenUsed/>
    <w:qFormat/>
    <w:uiPriority w:val="99"/>
    <w:rPr>
      <w:b/>
      <w:bCs/>
    </w:rPr>
  </w:style>
  <w:style w:type="paragraph" w:styleId="23">
    <w:name w:val="Body Text First Indent"/>
    <w:basedOn w:val="10"/>
    <w:link w:val="57"/>
    <w:qFormat/>
    <w:uiPriority w:val="0"/>
    <w:pPr>
      <w:spacing w:line="360" w:lineRule="auto"/>
    </w:pPr>
    <w:rPr>
      <w:sz w:val="24"/>
    </w:rPr>
  </w:style>
  <w:style w:type="paragraph" w:styleId="24">
    <w:name w:val="Body Text First Indent 2"/>
    <w:basedOn w:val="11"/>
    <w:link w:val="54"/>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unhideWhenUsed/>
    <w:qFormat/>
    <w:uiPriority w:val="99"/>
    <w:rPr>
      <w:color w:val="0563C1"/>
      <w:u w:val="single"/>
    </w:rPr>
  </w:style>
  <w:style w:type="character" w:styleId="29">
    <w:name w:val="annotation reference"/>
    <w:qFormat/>
    <w:uiPriority w:val="99"/>
    <w:rPr>
      <w:sz w:val="21"/>
      <w:szCs w:val="21"/>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黑体"/>
      <w:sz w:val="24"/>
      <w:szCs w:val="22"/>
      <w:lang w:val="en-US" w:eastAsia="zh-CN" w:bidi="ar-SA"/>
    </w:rPr>
  </w:style>
  <w:style w:type="character" w:customStyle="1" w:styleId="31">
    <w:name w:val="页脚 字符"/>
    <w:basedOn w:val="27"/>
    <w:link w:val="14"/>
    <w:qFormat/>
    <w:uiPriority w:val="99"/>
    <w:rPr>
      <w:sz w:val="18"/>
      <w:szCs w:val="18"/>
    </w:rPr>
  </w:style>
  <w:style w:type="character" w:customStyle="1" w:styleId="32">
    <w:name w:val="页眉 字符"/>
    <w:basedOn w:val="27"/>
    <w:link w:val="15"/>
    <w:qFormat/>
    <w:uiPriority w:val="0"/>
    <w:rPr>
      <w:sz w:val="18"/>
      <w:szCs w:val="18"/>
    </w:rPr>
  </w:style>
  <w:style w:type="character" w:customStyle="1" w:styleId="33">
    <w:name w:val="正文缩进 字符"/>
    <w:link w:val="8"/>
    <w:qFormat/>
    <w:locked/>
    <w:uiPriority w:val="99"/>
  </w:style>
  <w:style w:type="character" w:customStyle="1" w:styleId="34">
    <w:name w:val="标题 3 字符"/>
    <w:basedOn w:val="27"/>
    <w:link w:val="4"/>
    <w:qFormat/>
    <w:uiPriority w:val="0"/>
    <w:rPr>
      <w:rFonts w:ascii="Times New Roman" w:hAnsi="Times New Roman" w:eastAsia="宋体" w:cs="Times New Roman"/>
      <w:sz w:val="24"/>
      <w:szCs w:val="20"/>
    </w:rPr>
  </w:style>
  <w:style w:type="paragraph" w:customStyle="1" w:styleId="35">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36">
    <w:name w:val="3级标题"/>
    <w:next w:val="1"/>
    <w:qFormat/>
    <w:uiPriority w:val="0"/>
    <w:pPr>
      <w:numPr>
        <w:ilvl w:val="0"/>
        <w:numId w:val="1"/>
      </w:numPr>
      <w:adjustRightInd w:val="0"/>
      <w:snapToGrid w:val="0"/>
      <w:spacing w:before="240" w:after="120"/>
      <w:outlineLvl w:val="2"/>
    </w:pPr>
    <w:rPr>
      <w:rFonts w:ascii="Times New Roman" w:hAnsi="Times New Roman" w:eastAsia="仿宋" w:cs="Times New Roman"/>
      <w:b/>
      <w:kern w:val="2"/>
      <w:sz w:val="28"/>
      <w:lang w:val="en-US" w:eastAsia="zh-CN" w:bidi="ar-SA"/>
    </w:rPr>
  </w:style>
  <w:style w:type="character" w:customStyle="1" w:styleId="37">
    <w:name w:val="标题 1 字符"/>
    <w:basedOn w:val="27"/>
    <w:link w:val="3"/>
    <w:qFormat/>
    <w:uiPriority w:val="9"/>
    <w:rPr>
      <w:rFonts w:ascii="Times New Roman" w:hAnsi="Times New Roman" w:eastAsia="宋体" w:cs="Times New Roman"/>
      <w:b/>
      <w:bCs/>
      <w:kern w:val="44"/>
      <w:sz w:val="44"/>
      <w:szCs w:val="44"/>
    </w:rPr>
  </w:style>
  <w:style w:type="character" w:customStyle="1" w:styleId="38">
    <w:name w:val="标题 2 字符"/>
    <w:basedOn w:val="27"/>
    <w:link w:val="2"/>
    <w:semiHidden/>
    <w:qFormat/>
    <w:uiPriority w:val="9"/>
    <w:rPr>
      <w:rFonts w:asciiTheme="majorHAnsi" w:hAnsiTheme="majorHAnsi" w:eastAsiaTheme="majorEastAsia" w:cstheme="majorBidi"/>
      <w:b/>
      <w:bCs/>
      <w:sz w:val="32"/>
      <w:szCs w:val="32"/>
    </w:rPr>
  </w:style>
  <w:style w:type="paragraph" w:customStyle="1" w:styleId="39">
    <w:name w:val="标题4"/>
    <w:basedOn w:val="5"/>
    <w:qFormat/>
    <w:uiPriority w:val="0"/>
    <w:pPr>
      <w:spacing w:line="374" w:lineRule="auto"/>
    </w:pPr>
    <w:rPr>
      <w:rFonts w:ascii="Arial" w:hAnsi="Arial" w:eastAsia="黑体" w:cs="Times New Roman"/>
      <w:bCs w:val="0"/>
      <w:szCs w:val="20"/>
    </w:rPr>
  </w:style>
  <w:style w:type="character" w:customStyle="1" w:styleId="40">
    <w:name w:val="标题 4 字符"/>
    <w:basedOn w:val="27"/>
    <w:link w:val="5"/>
    <w:semiHidden/>
    <w:qFormat/>
    <w:uiPriority w:val="0"/>
    <w:rPr>
      <w:rFonts w:asciiTheme="majorHAnsi" w:hAnsiTheme="majorHAnsi" w:eastAsiaTheme="majorEastAsia" w:cstheme="majorBidi"/>
      <w:b/>
      <w:bCs/>
      <w:sz w:val="28"/>
      <w:szCs w:val="28"/>
    </w:rPr>
  </w:style>
  <w:style w:type="character" w:customStyle="1" w:styleId="41">
    <w:name w:val="标题 5 字符"/>
    <w:basedOn w:val="27"/>
    <w:link w:val="6"/>
    <w:qFormat/>
    <w:uiPriority w:val="0"/>
    <w:rPr>
      <w:rFonts w:ascii="Times New Roman" w:hAnsi="Times New Roman" w:eastAsia="宋体" w:cs="Times New Roman"/>
      <w:b/>
      <w:kern w:val="0"/>
      <w:sz w:val="28"/>
      <w:szCs w:val="20"/>
    </w:rPr>
  </w:style>
  <w:style w:type="character" w:customStyle="1" w:styleId="42">
    <w:name w:val="标题 6 字符"/>
    <w:basedOn w:val="27"/>
    <w:link w:val="7"/>
    <w:qFormat/>
    <w:uiPriority w:val="0"/>
    <w:rPr>
      <w:rFonts w:ascii="等线 Light" w:hAnsi="等线 Light" w:eastAsia="等线 Light" w:cs="Times New Roman"/>
      <w:b/>
      <w:bCs/>
      <w:sz w:val="24"/>
      <w:szCs w:val="24"/>
    </w:rPr>
  </w:style>
  <w:style w:type="character" w:customStyle="1" w:styleId="43">
    <w:name w:val="font21"/>
    <w:qFormat/>
    <w:uiPriority w:val="0"/>
    <w:rPr>
      <w:rFonts w:hint="eastAsia" w:ascii="微软雅黑" w:hAnsi="微软雅黑" w:eastAsia="微软雅黑" w:cs="微软雅黑"/>
      <w:color w:val="000000"/>
      <w:sz w:val="24"/>
      <w:szCs w:val="24"/>
      <w:u w:val="none"/>
    </w:rPr>
  </w:style>
  <w:style w:type="character" w:customStyle="1" w:styleId="44">
    <w:name w:val="页脚 字符1"/>
    <w:qFormat/>
    <w:uiPriority w:val="0"/>
    <w:rPr>
      <w:kern w:val="2"/>
      <w:sz w:val="18"/>
      <w:szCs w:val="18"/>
    </w:rPr>
  </w:style>
  <w:style w:type="character" w:customStyle="1" w:styleId="45">
    <w:name w:val="页眉 字符1"/>
    <w:qFormat/>
    <w:uiPriority w:val="0"/>
    <w:rPr>
      <w:kern w:val="2"/>
      <w:sz w:val="18"/>
      <w:szCs w:val="18"/>
    </w:rPr>
  </w:style>
  <w:style w:type="character" w:customStyle="1" w:styleId="46">
    <w:name w:val="!我的正文 Ctr+Q Char"/>
    <w:link w:val="47"/>
    <w:qFormat/>
    <w:locked/>
    <w:uiPriority w:val="0"/>
    <w:rPr>
      <w:rFonts w:ascii="宋体" w:hAnsi="宋体"/>
      <w:color w:val="000000"/>
      <w:sz w:val="24"/>
      <w:szCs w:val="24"/>
      <w:lang w:val="zh-CN"/>
    </w:rPr>
  </w:style>
  <w:style w:type="paragraph" w:customStyle="1" w:styleId="47">
    <w:name w:val="!我的正文 Ctr+Q"/>
    <w:basedOn w:val="1"/>
    <w:link w:val="46"/>
    <w:qFormat/>
    <w:uiPriority w:val="0"/>
    <w:pPr>
      <w:widowControl/>
      <w:adjustRightInd w:val="0"/>
      <w:spacing w:line="360" w:lineRule="auto"/>
      <w:ind w:left="105" w:leftChars="50" w:right="105" w:rightChars="50" w:firstLine="420" w:firstLineChars="200"/>
      <w:jc w:val="left"/>
      <w:textAlignment w:val="baseline"/>
    </w:pPr>
    <w:rPr>
      <w:rFonts w:ascii="宋体" w:hAnsi="宋体" w:eastAsiaTheme="minorEastAsia" w:cstheme="minorBidi"/>
      <w:color w:val="000000"/>
      <w:sz w:val="24"/>
      <w:lang w:val="zh-CN"/>
    </w:rPr>
  </w:style>
  <w:style w:type="character" w:customStyle="1" w:styleId="48">
    <w:name w:val="批注框文本 字符1"/>
    <w:link w:val="13"/>
    <w:qFormat/>
    <w:uiPriority w:val="0"/>
    <w:rPr>
      <w:rFonts w:ascii="Times New Roman" w:hAnsi="Times New Roman"/>
      <w:sz w:val="18"/>
      <w:szCs w:val="18"/>
    </w:rPr>
  </w:style>
  <w:style w:type="character" w:customStyle="1" w:styleId="49">
    <w:name w:val="font11"/>
    <w:qFormat/>
    <w:uiPriority w:val="0"/>
    <w:rPr>
      <w:rFonts w:hint="eastAsia" w:ascii="宋体" w:hAnsi="宋体" w:eastAsia="宋体" w:cs="宋体"/>
      <w:color w:val="000000"/>
      <w:sz w:val="24"/>
      <w:szCs w:val="24"/>
      <w:u w:val="none"/>
    </w:rPr>
  </w:style>
  <w:style w:type="character" w:customStyle="1" w:styleId="50">
    <w:name w:val="批注框文本 字符"/>
    <w:qFormat/>
    <w:uiPriority w:val="0"/>
    <w:rPr>
      <w:kern w:val="2"/>
      <w:sz w:val="18"/>
      <w:szCs w:val="18"/>
    </w:rPr>
  </w:style>
  <w:style w:type="character" w:customStyle="1" w:styleId="51">
    <w:name w:val="批注框文本 字符2"/>
    <w:basedOn w:val="27"/>
    <w:semiHidden/>
    <w:qFormat/>
    <w:uiPriority w:val="99"/>
    <w:rPr>
      <w:rFonts w:ascii="Times New Roman" w:hAnsi="Times New Roman" w:eastAsia="宋体" w:cs="Times New Roman"/>
      <w:sz w:val="18"/>
      <w:szCs w:val="18"/>
    </w:rPr>
  </w:style>
  <w:style w:type="character" w:customStyle="1" w:styleId="52">
    <w:name w:val="批注文字 字符"/>
    <w:basedOn w:val="27"/>
    <w:link w:val="9"/>
    <w:qFormat/>
    <w:uiPriority w:val="0"/>
    <w:rPr>
      <w:rFonts w:ascii="Times New Roman" w:hAnsi="Times New Roman" w:eastAsia="宋体" w:cs="Times New Roman"/>
      <w:szCs w:val="24"/>
    </w:rPr>
  </w:style>
  <w:style w:type="character" w:customStyle="1" w:styleId="53">
    <w:name w:val="正文文本缩进 字符"/>
    <w:basedOn w:val="27"/>
    <w:link w:val="11"/>
    <w:semiHidden/>
    <w:qFormat/>
    <w:uiPriority w:val="99"/>
    <w:rPr>
      <w:rFonts w:ascii="Times New Roman" w:hAnsi="Times New Roman" w:eastAsia="宋体" w:cs="Times New Roman"/>
      <w:szCs w:val="24"/>
    </w:rPr>
  </w:style>
  <w:style w:type="character" w:customStyle="1" w:styleId="54">
    <w:name w:val="正文文本首行缩进 2 字符"/>
    <w:basedOn w:val="53"/>
    <w:link w:val="24"/>
    <w:qFormat/>
    <w:uiPriority w:val="99"/>
    <w:rPr>
      <w:rFonts w:ascii="Times New Roman" w:hAnsi="Times New Roman" w:eastAsia="宋体" w:cs="Times New Roman"/>
      <w:szCs w:val="24"/>
    </w:rPr>
  </w:style>
  <w:style w:type="character" w:customStyle="1" w:styleId="55">
    <w:name w:val="标题 字符"/>
    <w:basedOn w:val="27"/>
    <w:link w:val="21"/>
    <w:qFormat/>
    <w:uiPriority w:val="10"/>
    <w:rPr>
      <w:rFonts w:ascii="Cambria" w:hAnsi="Cambria" w:eastAsia="宋体" w:cs="Times New Roman"/>
      <w:b/>
      <w:bCs/>
      <w:sz w:val="32"/>
      <w:szCs w:val="32"/>
    </w:rPr>
  </w:style>
  <w:style w:type="character" w:customStyle="1" w:styleId="56">
    <w:name w:val="正文文本 字符"/>
    <w:basedOn w:val="27"/>
    <w:link w:val="10"/>
    <w:qFormat/>
    <w:uiPriority w:val="0"/>
    <w:rPr>
      <w:rFonts w:ascii="仿宋_GB2312" w:hAnsi="Times New Roman" w:eastAsia="仿宋_GB2312" w:cs="Times New Roman"/>
      <w:kern w:val="0"/>
      <w:sz w:val="28"/>
      <w:szCs w:val="20"/>
    </w:rPr>
  </w:style>
  <w:style w:type="character" w:customStyle="1" w:styleId="57">
    <w:name w:val="正文文本首行缩进 字符"/>
    <w:basedOn w:val="56"/>
    <w:link w:val="23"/>
    <w:qFormat/>
    <w:uiPriority w:val="0"/>
    <w:rPr>
      <w:rFonts w:ascii="仿宋_GB2312" w:hAnsi="Times New Roman" w:eastAsia="仿宋_GB2312" w:cs="Times New Roman"/>
      <w:kern w:val="0"/>
      <w:sz w:val="24"/>
      <w:szCs w:val="20"/>
    </w:rPr>
  </w:style>
  <w:style w:type="paragraph" w:customStyle="1" w:styleId="58">
    <w:name w:val="列出段落11"/>
    <w:basedOn w:val="1"/>
    <w:qFormat/>
    <w:uiPriority w:val="34"/>
    <w:pPr>
      <w:ind w:firstLine="420" w:firstLineChars="200"/>
    </w:pPr>
    <w:rPr>
      <w:rFonts w:ascii="宋体" w:hAnsi="宋体"/>
      <w:sz w:val="24"/>
    </w:rPr>
  </w:style>
  <w:style w:type="paragraph" w:customStyle="1" w:styleId="59">
    <w:name w:val="正文-2字符首行缩进"/>
    <w:basedOn w:val="1"/>
    <w:qFormat/>
    <w:uiPriority w:val="0"/>
    <w:pPr>
      <w:spacing w:line="360" w:lineRule="auto"/>
      <w:ind w:firstLine="200" w:firstLineChars="200"/>
    </w:pPr>
    <w:rPr>
      <w:rFonts w:ascii="仿宋_GB2312" w:hAnsi="Calibri" w:eastAsia="仿宋_GB2312"/>
      <w:kern w:val="0"/>
      <w:sz w:val="28"/>
    </w:rPr>
  </w:style>
  <w:style w:type="paragraph" w:styleId="60">
    <w:name w:val="List Paragraph"/>
    <w:basedOn w:val="1"/>
    <w:qFormat/>
    <w:uiPriority w:val="34"/>
    <w:pPr>
      <w:ind w:firstLine="420" w:firstLineChars="200"/>
    </w:pPr>
  </w:style>
  <w:style w:type="paragraph" w:customStyle="1" w:styleId="61">
    <w:name w:val="**正文"/>
    <w:basedOn w:val="1"/>
    <w:qFormat/>
    <w:uiPriority w:val="0"/>
    <w:pPr>
      <w:widowControl/>
      <w:spacing w:line="360" w:lineRule="auto"/>
      <w:ind w:firstLine="482"/>
    </w:pPr>
    <w:rPr>
      <w:rFonts w:ascii="宋体" w:hAnsi="宋体"/>
      <w:kern w:val="0"/>
      <w:sz w:val="24"/>
    </w:rPr>
  </w:style>
  <w:style w:type="paragraph" w:customStyle="1" w:styleId="62">
    <w:name w:val="00正文"/>
    <w:basedOn w:val="1"/>
    <w:qFormat/>
    <w:uiPriority w:val="0"/>
    <w:pPr>
      <w:spacing w:line="360" w:lineRule="auto"/>
      <w:ind w:firstLine="412" w:firstLineChars="196"/>
      <w:jc w:val="left"/>
    </w:pPr>
    <w:rPr>
      <w:rFonts w:ascii="宋体" w:hAnsi="宋体" w:cs="宋体"/>
      <w:color w:val="000000"/>
      <w:szCs w:val="21"/>
    </w:rPr>
  </w:style>
  <w:style w:type="paragraph" w:customStyle="1" w:styleId="63">
    <w:name w:val="列出段落4"/>
    <w:basedOn w:val="1"/>
    <w:qFormat/>
    <w:uiPriority w:val="34"/>
    <w:pPr>
      <w:ind w:firstLine="420" w:firstLineChars="200"/>
    </w:pPr>
    <w:rPr>
      <w:rFonts w:ascii="Calibri" w:hAnsi="Calibri"/>
    </w:rPr>
  </w:style>
  <w:style w:type="paragraph" w:customStyle="1" w:styleId="64">
    <w:name w:val="正文本"/>
    <w:basedOn w:val="10"/>
    <w:qFormat/>
    <w:uiPriority w:val="0"/>
    <w:pPr>
      <w:spacing w:line="360" w:lineRule="auto"/>
      <w:ind w:firstLine="480"/>
    </w:pPr>
    <w:rPr>
      <w:rFonts w:ascii="Times New Roman" w:cs="宋体"/>
      <w:kern w:val="2"/>
      <w:sz w:val="24"/>
    </w:rPr>
  </w:style>
  <w:style w:type="paragraph" w:customStyle="1" w:styleId="65">
    <w:name w:val="TOC 标题1"/>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66">
    <w:name w:val="样式 宋体 四号 行距: 1.5 倍行距"/>
    <w:basedOn w:val="1"/>
    <w:qFormat/>
    <w:uiPriority w:val="0"/>
    <w:pPr>
      <w:spacing w:line="360" w:lineRule="auto"/>
      <w:ind w:firstLine="560" w:firstLineChars="200"/>
    </w:pPr>
    <w:rPr>
      <w:rFonts w:ascii="宋体" w:hAnsi="宋体" w:cs="宋体"/>
      <w:sz w:val="28"/>
      <w:szCs w:val="20"/>
    </w:rPr>
  </w:style>
  <w:style w:type="character" w:customStyle="1" w:styleId="67">
    <w:name w:val="font31"/>
    <w:basedOn w:val="27"/>
    <w:qFormat/>
    <w:uiPriority w:val="0"/>
    <w:rPr>
      <w:rFonts w:ascii="黑体" w:hAnsi="宋体" w:eastAsia="黑体" w:cs="黑体"/>
      <w:color w:val="000000"/>
      <w:sz w:val="22"/>
      <w:szCs w:val="22"/>
      <w:u w:val="none"/>
    </w:rPr>
  </w:style>
  <w:style w:type="character" w:customStyle="1" w:styleId="68">
    <w:name w:val="font41"/>
    <w:basedOn w:val="27"/>
    <w:qFormat/>
    <w:uiPriority w:val="0"/>
    <w:rPr>
      <w:rFonts w:ascii="Palatino Linotype" w:hAnsi="Palatino Linotype" w:eastAsia="Palatino Linotype" w:cs="Palatino Linotype"/>
      <w:color w:val="000000"/>
      <w:sz w:val="20"/>
      <w:szCs w:val="20"/>
      <w:u w:val="none"/>
    </w:rPr>
  </w:style>
  <w:style w:type="character" w:customStyle="1" w:styleId="69">
    <w:name w:val="font01"/>
    <w:basedOn w:val="27"/>
    <w:qFormat/>
    <w:uiPriority w:val="0"/>
    <w:rPr>
      <w:rFonts w:ascii="黑体" w:hAnsi="宋体" w:eastAsia="黑体" w:cs="黑体"/>
      <w:color w:val="000000"/>
      <w:sz w:val="22"/>
      <w:szCs w:val="22"/>
      <w:u w:val="none"/>
    </w:rPr>
  </w:style>
  <w:style w:type="character" w:customStyle="1" w:styleId="70">
    <w:name w:val="批注主题 字符"/>
    <w:basedOn w:val="52"/>
    <w:link w:val="22"/>
    <w:semiHidden/>
    <w:qFormat/>
    <w:uiPriority w:val="99"/>
    <w:rPr>
      <w:rFonts w:ascii="Times New Roman" w:hAnsi="Times New Roman" w:eastAsia="宋体" w:cs="Times New Roman"/>
      <w:b/>
      <w:bCs/>
      <w:kern w:val="2"/>
      <w:sz w:val="21"/>
      <w:szCs w:val="24"/>
    </w:rPr>
  </w:style>
  <w:style w:type="character" w:customStyle="1" w:styleId="71">
    <w:name w:val="副标题 字符"/>
    <w:basedOn w:val="27"/>
    <w:link w:val="18"/>
    <w:qFormat/>
    <w:uiPriority w:val="11"/>
    <w:rPr>
      <w:rFonts w:ascii="Cambria" w:hAnsi="Cambria"/>
      <w:i/>
      <w:iCs/>
      <w:spacing w:val="13"/>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1510</Words>
  <Characters>8613</Characters>
  <Lines>71</Lines>
  <Paragraphs>20</Paragraphs>
  <TotalTime>0</TotalTime>
  <ScaleCrop>false</ScaleCrop>
  <LinksUpToDate>false</LinksUpToDate>
  <CharactersWithSpaces>10103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2021-10-26T04:08:00Z</dcterms:created>
  <dc:creator>ishb</dc:creator>
  <cp:lastModifiedBy>邱杰</cp:lastModifiedBy>
  <dcterms:modified xsi:type="dcterms:W3CDTF">2021-11-08T11:34:53Z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2817D087BF36483BB4C0E5BD05B475BF</vt:lpwstr>
  </property>
</Properties>
</file>