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宋体" w:hAnsi="宋体" w:eastAsia="宋体" w:cs="宋体"/>
          <w:b/>
          <w:bCs/>
          <w:kern w:val="0"/>
          <w:sz w:val="32"/>
          <w:szCs w:val="32"/>
          <w:lang w:val="en-US" w:eastAsia="zh-Hans"/>
        </w:rPr>
      </w:pPr>
      <w:r>
        <w:rPr>
          <w:rFonts w:hint="eastAsia" w:ascii="宋体" w:hAnsi="宋体" w:eastAsia="宋体" w:cs="宋体"/>
          <w:b/>
          <w:bCs/>
          <w:kern w:val="0"/>
          <w:sz w:val="32"/>
          <w:szCs w:val="32"/>
          <w:lang w:val="en-US" w:eastAsia="zh-Hans"/>
        </w:rPr>
        <w:t>湖北省健康医疗大数据中心暨公共卫生应急管理平台建设项目</w:t>
      </w:r>
      <w:r>
        <w:rPr>
          <w:rFonts w:hint="eastAsia" w:ascii="宋体" w:hAnsi="宋体" w:cs="宋体"/>
          <w:b/>
          <w:bCs/>
          <w:kern w:val="0"/>
          <w:sz w:val="32"/>
          <w:szCs w:val="32"/>
          <w:lang w:val="en-US" w:eastAsia="zh-CN"/>
        </w:rPr>
        <w:t>（</w:t>
      </w:r>
      <w:r>
        <w:rPr>
          <w:rFonts w:hint="eastAsia" w:ascii="宋体" w:hAnsi="宋体" w:eastAsia="宋体" w:cs="宋体"/>
          <w:b/>
          <w:bCs/>
          <w:kern w:val="0"/>
          <w:sz w:val="32"/>
          <w:szCs w:val="32"/>
          <w:lang w:val="en-US" w:eastAsia="zh-Hans"/>
        </w:rPr>
        <w:t>二期</w:t>
      </w:r>
      <w:r>
        <w:rPr>
          <w:rFonts w:hint="eastAsia" w:ascii="宋体" w:hAnsi="宋体" w:cs="宋体"/>
          <w:b/>
          <w:bCs/>
          <w:kern w:val="0"/>
          <w:sz w:val="32"/>
          <w:szCs w:val="32"/>
          <w:lang w:val="en-US" w:eastAsia="zh-CN"/>
        </w:rPr>
        <w:t>）——</w:t>
      </w:r>
      <w:r>
        <w:rPr>
          <w:rFonts w:hint="eastAsia" w:ascii="宋体" w:hAnsi="宋体" w:eastAsia="宋体" w:cs="宋体"/>
          <w:b/>
          <w:bCs/>
          <w:kern w:val="0"/>
          <w:sz w:val="32"/>
          <w:szCs w:val="32"/>
          <w:lang w:val="en-US" w:eastAsia="zh-Hans"/>
        </w:rPr>
        <w:t>初步设计</w:t>
      </w:r>
      <w:r>
        <w:rPr>
          <w:rFonts w:hint="eastAsia" w:ascii="宋体" w:hAnsi="宋体" w:eastAsia="宋体" w:cs="宋体"/>
          <w:b/>
          <w:bCs/>
          <w:kern w:val="0"/>
          <w:sz w:val="32"/>
          <w:szCs w:val="32"/>
          <w:lang w:val="en-US" w:eastAsia="zh-CN"/>
        </w:rPr>
        <w:t>服务</w:t>
      </w:r>
      <w:r>
        <w:rPr>
          <w:rFonts w:hint="eastAsia" w:ascii="宋体" w:hAnsi="宋体" w:eastAsia="宋体" w:cs="宋体"/>
          <w:b/>
          <w:bCs/>
          <w:kern w:val="0"/>
          <w:sz w:val="32"/>
          <w:szCs w:val="32"/>
          <w:lang w:val="en-US" w:eastAsia="zh-Hans"/>
        </w:rPr>
        <w:t>采购需求</w:t>
      </w:r>
      <w:bookmarkStart w:id="6" w:name="_GoBack"/>
      <w:bookmarkEnd w:id="6"/>
    </w:p>
    <w:p>
      <w:pPr>
        <w:spacing w:line="440" w:lineRule="exact"/>
        <w:ind w:left="420" w:hanging="420" w:hangingChars="150"/>
        <w:jc w:val="center"/>
        <w:rPr>
          <w:rFonts w:ascii="仿宋_GB2312" w:eastAsia="仿宋_GB2312"/>
          <w:color w:val="000000" w:themeColor="text1"/>
          <w:sz w:val="28"/>
          <w:szCs w:val="28"/>
          <w14:textFill>
            <w14:solidFill>
              <w14:schemeClr w14:val="tx1"/>
            </w14:solidFill>
          </w14:textFill>
        </w:rPr>
      </w:pPr>
    </w:p>
    <w:p>
      <w:pPr>
        <w:adjustRightInd w:val="0"/>
        <w:snapToGrid w:val="0"/>
        <w:spacing w:line="360" w:lineRule="auto"/>
        <w:ind w:firstLine="480" w:firstLineChars="200"/>
        <w:outlineLvl w:val="0"/>
        <w:rPr>
          <w:rFonts w:ascii="仿宋_GB2312" w:hAnsi="Times New Roman" w:eastAsia="仿宋_GB2312"/>
          <w:b/>
          <w:bCs/>
          <w:color w:val="000000" w:themeColor="text1"/>
          <w:sz w:val="28"/>
          <w:szCs w:val="28"/>
          <w14:textFill>
            <w14:solidFill>
              <w14:schemeClr w14:val="tx1"/>
            </w14:solidFill>
          </w14:textFill>
        </w:rPr>
      </w:pPr>
      <w:r>
        <w:rPr>
          <w:rFonts w:hint="eastAsia" w:ascii="黑体" w:hAnsi="黑体" w:eastAsia="黑体" w:cs="Times New Roman"/>
          <w:bCs/>
          <w:color w:val="000000" w:themeColor="text1"/>
          <w:sz w:val="24"/>
          <w:szCs w:val="28"/>
          <w14:textFill>
            <w14:solidFill>
              <w14:schemeClr w14:val="tx1"/>
            </w14:solidFill>
          </w14:textFill>
        </w:rPr>
        <w:t>第一部分：供应商资格要求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Times New Roman" w:eastAsia="仿宋_GB2312" w:cs="Times New Roman"/>
          <w:color w:val="000000" w:themeColor="text1"/>
          <w:sz w:val="24"/>
          <w:szCs w:val="28"/>
          <w14:textFill>
            <w14:solidFill>
              <w14:schemeClr w14:val="tx1"/>
            </w14:solidFill>
          </w14:textFill>
        </w:rPr>
      </w:pPr>
      <w:r>
        <w:rPr>
          <w:rFonts w:hint="eastAsia" w:ascii="仿宋_GB2312" w:hAnsi="Times New Roman" w:eastAsia="仿宋_GB2312" w:cs="Times New Roman"/>
          <w:color w:val="000000" w:themeColor="text1"/>
          <w:sz w:val="24"/>
          <w:szCs w:val="28"/>
          <w14:textFill>
            <w14:solidFill>
              <w14:schemeClr w14:val="tx1"/>
            </w14:solidFill>
          </w14:textFill>
        </w:rPr>
        <w:t>1.1应具备《政府采购法》第二十二条第一款规定的条件；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Times New Roman" w:eastAsia="仿宋_GB2312" w:cs="Times New Roman"/>
          <w:color w:val="000000" w:themeColor="text1"/>
          <w:sz w:val="24"/>
          <w:szCs w:val="28"/>
          <w14:textFill>
            <w14:solidFill>
              <w14:schemeClr w14:val="tx1"/>
            </w14:solidFill>
          </w14:textFill>
        </w:rPr>
      </w:pPr>
      <w:r>
        <w:rPr>
          <w:rFonts w:hint="eastAsia" w:ascii="仿宋_GB2312" w:hAnsi="Times New Roman" w:eastAsia="仿宋_GB2312" w:cs="Times New Roman"/>
          <w:color w:val="000000" w:themeColor="text1"/>
          <w:sz w:val="24"/>
          <w:szCs w:val="28"/>
          <w14:textFill>
            <w14:solidFill>
              <w14:schemeClr w14:val="tx1"/>
            </w14:solidFill>
          </w14:textFill>
        </w:rPr>
        <w:t>1.2未被列入“信用中国”或“中国政府采购网”中的失信被执行人、重大税收违法案件当事人名单、政府采购严重违法失信行为记录名单；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Times New Roman" w:eastAsia="仿宋_GB2312" w:cs="Times New Roman"/>
          <w:color w:val="000000" w:themeColor="text1"/>
          <w:sz w:val="24"/>
          <w:szCs w:val="28"/>
          <w14:textFill>
            <w14:solidFill>
              <w14:schemeClr w14:val="tx1"/>
            </w14:solidFill>
          </w14:textFill>
        </w:rPr>
      </w:pPr>
      <w:r>
        <w:rPr>
          <w:rFonts w:hint="eastAsia" w:ascii="仿宋_GB2312" w:hAnsi="Times New Roman" w:eastAsia="仿宋_GB2312" w:cs="Times New Roman"/>
          <w:color w:val="000000" w:themeColor="text1"/>
          <w:sz w:val="24"/>
          <w:szCs w:val="28"/>
          <w14:textFill>
            <w14:solidFill>
              <w14:schemeClr w14:val="tx1"/>
            </w14:solidFill>
          </w14:textFill>
        </w:rPr>
        <w:t>1.3具备行政主管部门颁发的电子通信广电行业相关甲级设计资质及合法有效的营业执照、税务登记证及相关证明；</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Times New Roman" w:eastAsia="仿宋_GB2312" w:cs="Times New Roman"/>
          <w:color w:val="000000" w:themeColor="text1"/>
          <w:sz w:val="24"/>
          <w:szCs w:val="28"/>
          <w14:textFill>
            <w14:solidFill>
              <w14:schemeClr w14:val="tx1"/>
            </w14:solidFill>
          </w14:textFill>
        </w:rPr>
      </w:pPr>
      <w:r>
        <w:rPr>
          <w:rFonts w:hint="eastAsia" w:ascii="仿宋_GB2312" w:hAnsi="Times New Roman" w:eastAsia="仿宋_GB2312" w:cs="Times New Roman"/>
          <w:color w:val="000000" w:themeColor="text1"/>
          <w:sz w:val="24"/>
          <w:szCs w:val="28"/>
          <w14:textFill>
            <w14:solidFill>
              <w14:schemeClr w14:val="tx1"/>
            </w14:solidFill>
          </w14:textFill>
        </w:rPr>
        <w:t>1.4本项目不接受联合体。</w:t>
      </w:r>
    </w:p>
    <w:p>
      <w:pPr>
        <w:adjustRightInd w:val="0"/>
        <w:snapToGrid w:val="0"/>
        <w:spacing w:line="360" w:lineRule="auto"/>
        <w:ind w:firstLine="560" w:firstLineChars="200"/>
        <w:jc w:val="left"/>
        <w:rPr>
          <w:rFonts w:ascii="仿宋_GB2312" w:hAnsi="Times New Roman" w:eastAsia="仿宋_GB2312"/>
          <w:color w:val="000000" w:themeColor="text1"/>
          <w:sz w:val="28"/>
          <w:szCs w:val="28"/>
          <w14:textFill>
            <w14:solidFill>
              <w14:schemeClr w14:val="tx1"/>
            </w14:solidFill>
          </w14:textFill>
        </w:rPr>
      </w:pPr>
    </w:p>
    <w:p>
      <w:pPr>
        <w:adjustRightInd w:val="0"/>
        <w:snapToGrid w:val="0"/>
        <w:spacing w:line="360" w:lineRule="auto"/>
        <w:ind w:firstLine="480" w:firstLineChars="200"/>
        <w:outlineLvl w:val="0"/>
        <w:rPr>
          <w:rFonts w:ascii="仿宋_GB2312" w:hAnsi="Times New Roman" w:eastAsia="仿宋_GB2312"/>
          <w:b/>
          <w:bCs/>
          <w:color w:val="000000" w:themeColor="text1"/>
          <w:sz w:val="28"/>
          <w:szCs w:val="28"/>
          <w14:textFill>
            <w14:solidFill>
              <w14:schemeClr w14:val="tx1"/>
            </w14:solidFill>
          </w14:textFill>
        </w:rPr>
      </w:pPr>
      <w:r>
        <w:rPr>
          <w:rFonts w:hint="eastAsia" w:ascii="黑体" w:hAnsi="黑体" w:eastAsia="黑体" w:cs="Times New Roman"/>
          <w:bCs/>
          <w:color w:val="000000" w:themeColor="text1"/>
          <w:sz w:val="24"/>
          <w:szCs w:val="28"/>
          <w14:textFill>
            <w14:solidFill>
              <w14:schemeClr w14:val="tx1"/>
            </w14:solidFill>
          </w14:textFill>
        </w:rPr>
        <w:t>第二部分：采购内容</w:t>
      </w:r>
    </w:p>
    <w:p>
      <w:pPr>
        <w:adjustRightInd w:val="0"/>
        <w:snapToGrid w:val="0"/>
        <w:spacing w:line="360" w:lineRule="auto"/>
        <w:ind w:firstLine="480" w:firstLineChars="200"/>
        <w:jc w:val="left"/>
        <w:outlineLvl w:val="1"/>
        <w:rPr>
          <w:rFonts w:ascii="仿宋_GB2312" w:hAnsi="Times New Roman" w:eastAsia="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sz w:val="24"/>
          <w:szCs w:val="28"/>
          <w14:textFill>
            <w14:solidFill>
              <w14:schemeClr w14:val="tx1"/>
            </w14:solidFill>
          </w14:textFill>
        </w:rPr>
        <w:t>一、采购内容：</w:t>
      </w:r>
    </w:p>
    <w:tbl>
      <w:tblPr>
        <w:tblStyle w:val="17"/>
        <w:tblpPr w:leftFromText="180" w:rightFromText="180" w:vertAnchor="text" w:horzAnchor="margin" w:tblpXSpec="center" w:tblpY="37"/>
        <w:tblW w:w="9204"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124"/>
        <w:gridCol w:w="5670"/>
        <w:gridCol w:w="1134"/>
        <w:gridCol w:w="127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32" w:hRule="atLeast"/>
          <w:jc w:val="center"/>
        </w:trPr>
        <w:tc>
          <w:tcPr>
            <w:tcW w:w="1124" w:type="dxa"/>
            <w:tcBorders>
              <w:top w:val="single" w:color="auto" w:sz="8" w:space="0"/>
              <w:bottom w:val="single" w:color="auto" w:sz="2" w:space="0"/>
            </w:tcBorders>
            <w:shd w:val="clear" w:color="auto" w:fill="F2F2F2"/>
            <w:vAlign w:val="center"/>
          </w:tcPr>
          <w:p>
            <w:pPr>
              <w:jc w:val="center"/>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序号</w:t>
            </w:r>
          </w:p>
        </w:tc>
        <w:tc>
          <w:tcPr>
            <w:tcW w:w="5670" w:type="dxa"/>
            <w:tcBorders>
              <w:top w:val="single" w:color="auto" w:sz="8" w:space="0"/>
              <w:bottom w:val="single" w:color="auto" w:sz="2" w:space="0"/>
            </w:tcBorders>
            <w:shd w:val="clear" w:color="auto" w:fill="F2F2F2"/>
            <w:vAlign w:val="center"/>
          </w:tcPr>
          <w:p>
            <w:pPr>
              <w:jc w:val="center"/>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名称</w:t>
            </w:r>
          </w:p>
        </w:tc>
        <w:tc>
          <w:tcPr>
            <w:tcW w:w="1134" w:type="dxa"/>
            <w:tcBorders>
              <w:top w:val="single" w:color="auto" w:sz="8" w:space="0"/>
              <w:bottom w:val="single" w:color="auto" w:sz="2" w:space="0"/>
            </w:tcBorders>
            <w:shd w:val="clear" w:color="auto" w:fill="F2F2F2"/>
            <w:vAlign w:val="center"/>
          </w:tcPr>
          <w:p>
            <w:pPr>
              <w:jc w:val="center"/>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数量</w:t>
            </w:r>
          </w:p>
        </w:tc>
        <w:tc>
          <w:tcPr>
            <w:tcW w:w="1276" w:type="dxa"/>
            <w:tcBorders>
              <w:top w:val="single" w:color="auto" w:sz="8" w:space="0"/>
              <w:bottom w:val="single" w:color="auto" w:sz="2" w:space="0"/>
            </w:tcBorders>
            <w:shd w:val="clear" w:color="auto" w:fill="F2F2F2"/>
            <w:vAlign w:val="center"/>
          </w:tcPr>
          <w:p>
            <w:pPr>
              <w:jc w:val="center"/>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单位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1124" w:type="dxa"/>
            <w:tcBorders>
              <w:top w:val="single" w:color="auto" w:sz="2" w:space="0"/>
            </w:tcBorders>
            <w:shd w:val="clear" w:color="auto" w:fill="auto"/>
            <w:vAlign w:val="center"/>
          </w:tcPr>
          <w:p>
            <w:pPr>
              <w:jc w:val="center"/>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1</w:t>
            </w:r>
          </w:p>
        </w:tc>
        <w:tc>
          <w:tcPr>
            <w:tcW w:w="5670" w:type="dxa"/>
            <w:tcBorders>
              <w:top w:val="single" w:color="auto" w:sz="2" w:space="0"/>
            </w:tcBorders>
            <w:shd w:val="clear" w:color="auto" w:fill="auto"/>
            <w:vAlign w:val="center"/>
          </w:tcPr>
          <w:p>
            <w:pPr>
              <w:jc w:val="left"/>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湖北省健康医疗大数据中心暨公共卫生应急管理平台建设项目</w:t>
            </w:r>
            <w:r>
              <w:rPr>
                <w:rFonts w:hint="eastAsia" w:ascii="仿宋_GB2312" w:hAnsi="Times New Roman" w:eastAsia="仿宋_GB2312" w:cs="Times New Roman"/>
                <w:sz w:val="24"/>
                <w:szCs w:val="28"/>
                <w:lang w:val="en-US" w:eastAsia="zh-CN"/>
              </w:rPr>
              <w:t>（</w:t>
            </w:r>
            <w:r>
              <w:rPr>
                <w:rFonts w:hint="eastAsia" w:ascii="仿宋_GB2312" w:hAnsi="Times New Roman" w:eastAsia="仿宋_GB2312" w:cs="Times New Roman"/>
                <w:sz w:val="24"/>
                <w:szCs w:val="28"/>
                <w:lang w:val="en-US" w:eastAsia="zh-Hans"/>
              </w:rPr>
              <w:t>二期</w:t>
            </w:r>
            <w:r>
              <w:rPr>
                <w:rFonts w:hint="eastAsia" w:ascii="仿宋_GB2312" w:hAnsi="Times New Roman" w:eastAsia="仿宋_GB2312" w:cs="Times New Roman"/>
                <w:sz w:val="24"/>
                <w:szCs w:val="28"/>
                <w:lang w:val="en-US" w:eastAsia="zh-CN"/>
              </w:rPr>
              <w:t>）——</w:t>
            </w:r>
            <w:r>
              <w:rPr>
                <w:rFonts w:hint="eastAsia" w:ascii="仿宋_GB2312" w:hAnsi="Times New Roman" w:eastAsia="仿宋_GB2312" w:cs="Times New Roman"/>
                <w:sz w:val="24"/>
                <w:szCs w:val="28"/>
                <w:lang w:val="en-US" w:eastAsia="zh-Hans"/>
              </w:rPr>
              <w:t>初步设计</w:t>
            </w:r>
            <w:r>
              <w:rPr>
                <w:rFonts w:hint="eastAsia" w:ascii="仿宋_GB2312" w:hAnsi="Times New Roman" w:eastAsia="仿宋_GB2312" w:cs="Times New Roman"/>
                <w:sz w:val="24"/>
                <w:szCs w:val="28"/>
                <w:lang w:val="en-US" w:eastAsia="zh-CN"/>
              </w:rPr>
              <w:t>服务</w:t>
            </w:r>
          </w:p>
        </w:tc>
        <w:tc>
          <w:tcPr>
            <w:tcW w:w="1134" w:type="dxa"/>
            <w:tcBorders>
              <w:top w:val="single" w:color="auto" w:sz="2" w:space="0"/>
            </w:tcBorders>
            <w:shd w:val="clear" w:color="auto" w:fill="auto"/>
            <w:vAlign w:val="center"/>
          </w:tcPr>
          <w:p>
            <w:pPr>
              <w:jc w:val="center"/>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1</w:t>
            </w:r>
          </w:p>
        </w:tc>
        <w:tc>
          <w:tcPr>
            <w:tcW w:w="1276" w:type="dxa"/>
            <w:tcBorders>
              <w:top w:val="single" w:color="auto" w:sz="2" w:space="0"/>
            </w:tcBorders>
            <w:shd w:val="clear" w:color="auto" w:fill="auto"/>
            <w:vAlign w:val="center"/>
          </w:tcPr>
          <w:p>
            <w:pPr>
              <w:jc w:val="center"/>
              <w:rPr>
                <w:rFonts w:hint="eastAsia" w:ascii="仿宋_GB2312" w:hAnsi="Times New Roman" w:eastAsia="仿宋_GB2312" w:cs="Times New Roman"/>
                <w:sz w:val="24"/>
                <w:szCs w:val="28"/>
                <w:lang w:val="en-US" w:eastAsia="zh-Hans"/>
              </w:rPr>
            </w:pPr>
            <w:r>
              <w:rPr>
                <w:rFonts w:hint="eastAsia" w:ascii="仿宋_GB2312" w:hAnsi="Times New Roman" w:eastAsia="仿宋_GB2312" w:cs="Times New Roman"/>
                <w:sz w:val="24"/>
                <w:szCs w:val="28"/>
                <w:lang w:val="en-US" w:eastAsia="zh-Hans"/>
              </w:rPr>
              <w:t>项</w:t>
            </w:r>
          </w:p>
        </w:tc>
      </w:tr>
    </w:tbl>
    <w:p>
      <w:pPr>
        <w:adjustRightInd w:val="0"/>
        <w:snapToGrid w:val="0"/>
        <w:spacing w:line="360" w:lineRule="auto"/>
        <w:ind w:firstLine="560" w:firstLineChars="200"/>
        <w:jc w:val="left"/>
        <w:rPr>
          <w:rFonts w:ascii="仿宋_GB2312" w:hAnsi="Times New Roman" w:eastAsia="仿宋_GB2312"/>
          <w:color w:val="000000" w:themeColor="text1"/>
          <w:sz w:val="28"/>
          <w:szCs w:val="28"/>
          <w14:textFill>
            <w14:solidFill>
              <w14:schemeClr w14:val="tx1"/>
            </w14:solidFill>
          </w14:textFill>
        </w:rPr>
      </w:pPr>
    </w:p>
    <w:p>
      <w:pPr>
        <w:adjustRightInd w:val="0"/>
        <w:snapToGrid w:val="0"/>
        <w:spacing w:line="360" w:lineRule="auto"/>
        <w:ind w:firstLine="480" w:firstLineChars="200"/>
        <w:jc w:val="left"/>
        <w:outlineLvl w:val="1"/>
        <w:rPr>
          <w:rFonts w:ascii="仿宋_GB2312" w:hAnsi="Times New Roman" w:eastAsia="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sz w:val="24"/>
          <w:szCs w:val="28"/>
          <w14:textFill>
            <w14:solidFill>
              <w14:schemeClr w14:val="tx1"/>
            </w14:solidFill>
          </w14:textFill>
        </w:rPr>
        <w:t>二、采购预算</w:t>
      </w:r>
      <w:r>
        <w:rPr>
          <w:rFonts w:hint="eastAsia" w:ascii="仿宋_GB2312" w:hAnsi="Times New Roman" w:eastAsia="仿宋_GB2312"/>
          <w:color w:val="000000" w:themeColor="text1"/>
          <w:sz w:val="28"/>
          <w:szCs w:val="28"/>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9</w:t>
      </w:r>
      <w:r>
        <w:rPr>
          <w:rFonts w:hint="eastAsia" w:ascii="仿宋_GB2312" w:hAnsi="Times New Roman" w:eastAsia="仿宋_GB2312" w:cs="Times New Roman"/>
          <w:color w:val="000000" w:themeColor="text1"/>
          <w:sz w:val="24"/>
          <w:szCs w:val="24"/>
          <w:lang w:val="en-US" w:eastAsia="zh-CN"/>
          <w14:textFill>
            <w14:solidFill>
              <w14:schemeClr w14:val="tx1"/>
            </w14:solidFill>
          </w14:textFill>
        </w:rPr>
        <w:t>0</w:t>
      </w:r>
      <w:r>
        <w:rPr>
          <w:rFonts w:hint="eastAsia" w:ascii="仿宋_GB2312" w:hAnsi="Times New Roman" w:eastAsia="仿宋_GB2312" w:cs="Times New Roman"/>
          <w:color w:val="000000" w:themeColor="text1"/>
          <w:sz w:val="24"/>
          <w:szCs w:val="24"/>
          <w14:textFill>
            <w14:solidFill>
              <w14:schemeClr w14:val="tx1"/>
            </w14:solidFill>
          </w14:textFill>
        </w:rPr>
        <w:t>万元。</w:t>
      </w:r>
    </w:p>
    <w:p>
      <w:pPr>
        <w:adjustRightInd w:val="0"/>
        <w:snapToGrid w:val="0"/>
        <w:spacing w:line="360" w:lineRule="auto"/>
        <w:ind w:firstLine="480" w:firstLineChars="200"/>
        <w:jc w:val="left"/>
        <w:outlineLvl w:val="1"/>
        <w:rPr>
          <w:rFonts w:hint="eastAsia" w:ascii="黑体" w:hAnsi="黑体" w:eastAsia="黑体" w:cs="Times New Roman"/>
          <w:color w:val="000000" w:themeColor="text1"/>
          <w:sz w:val="24"/>
          <w:szCs w:val="28"/>
          <w14:textFill>
            <w14:solidFill>
              <w14:schemeClr w14:val="tx1"/>
            </w14:solidFill>
          </w14:textFill>
        </w:rPr>
      </w:pPr>
      <w:r>
        <w:rPr>
          <w:rFonts w:hint="eastAsia" w:ascii="黑体" w:hAnsi="黑体" w:eastAsia="黑体" w:cs="Times New Roman"/>
          <w:color w:val="000000" w:themeColor="text1"/>
          <w:sz w:val="24"/>
          <w:szCs w:val="28"/>
          <w14:textFill>
            <w14:solidFill>
              <w14:schemeClr w14:val="tx1"/>
            </w14:solidFill>
          </w14:textFill>
        </w:rPr>
        <w:t>三、交付时间、地点</w:t>
      </w:r>
    </w:p>
    <w:p>
      <w:pPr>
        <w:adjustRightInd w:val="0"/>
        <w:snapToGrid w:val="0"/>
        <w:spacing w:line="360" w:lineRule="auto"/>
        <w:ind w:firstLine="480" w:firstLineChars="200"/>
        <w:jc w:val="left"/>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3.1交付时间：合同签订后</w:t>
      </w:r>
      <w:r>
        <w:rPr>
          <w:rFonts w:ascii="仿宋_GB2312" w:hAnsi="Times New Roman" w:eastAsia="仿宋_GB2312"/>
          <w:color w:val="000000" w:themeColor="text1"/>
          <w:sz w:val="24"/>
          <w:szCs w:val="24"/>
          <w14:textFill>
            <w14:solidFill>
              <w14:schemeClr w14:val="tx1"/>
            </w14:solidFill>
          </w14:textFill>
        </w:rPr>
        <w:t>20</w:t>
      </w:r>
      <w:r>
        <w:rPr>
          <w:rFonts w:hint="eastAsia" w:ascii="仿宋_GB2312" w:hAnsi="Times New Roman" w:eastAsia="仿宋_GB2312"/>
          <w:color w:val="000000" w:themeColor="text1"/>
          <w:sz w:val="24"/>
          <w:szCs w:val="24"/>
          <w14:textFill>
            <w14:solidFill>
              <w14:schemeClr w14:val="tx1"/>
            </w14:solidFill>
          </w14:textFill>
        </w:rPr>
        <w:t>个日历天内完成。</w:t>
      </w:r>
    </w:p>
    <w:p>
      <w:pPr>
        <w:adjustRightInd w:val="0"/>
        <w:snapToGrid w:val="0"/>
        <w:spacing w:line="360" w:lineRule="auto"/>
        <w:ind w:firstLine="480" w:firstLineChars="200"/>
        <w:jc w:val="left"/>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3.2交付地点：采购人指定地点。</w:t>
      </w:r>
    </w:p>
    <w:p>
      <w:pPr>
        <w:adjustRightInd w:val="0"/>
        <w:snapToGrid w:val="0"/>
        <w:spacing w:line="360" w:lineRule="auto"/>
        <w:ind w:firstLine="480" w:firstLineChars="200"/>
        <w:jc w:val="left"/>
        <w:outlineLvl w:val="1"/>
        <w:rPr>
          <w:rFonts w:ascii="仿宋_GB2312" w:hAnsi="Times New Roman" w:eastAsia="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sz w:val="24"/>
          <w:szCs w:val="28"/>
          <w14:textFill>
            <w14:solidFill>
              <w14:schemeClr w14:val="tx1"/>
            </w14:solidFill>
          </w14:textFill>
        </w:rPr>
        <w:t>四、采购内容及其要求</w:t>
      </w:r>
    </w:p>
    <w:p>
      <w:pPr>
        <w:adjustRightInd w:val="0"/>
        <w:snapToGrid w:val="0"/>
        <w:spacing w:line="360" w:lineRule="auto"/>
        <w:ind w:firstLine="480" w:firstLineChars="200"/>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bookmarkStart w:id="0" w:name="_Toc11103586"/>
      <w:r>
        <w:rPr>
          <w:rFonts w:hint="eastAsia" w:ascii="仿宋_GB2312" w:hAnsi="仿宋_GB2312" w:eastAsia="仿宋_GB2312" w:cs="仿宋_GB2312"/>
          <w:b/>
          <w:bCs/>
          <w:color w:val="000000" w:themeColor="text1"/>
          <w:sz w:val="24"/>
          <w:szCs w:val="24"/>
          <w14:textFill>
            <w14:solidFill>
              <w14:schemeClr w14:val="tx1"/>
            </w14:solidFill>
          </w14:textFill>
        </w:rPr>
        <w:t>项目背景</w:t>
      </w:r>
      <w:bookmarkEnd w:id="0"/>
      <w:bookmarkStart w:id="1" w:name="_Toc338065594"/>
      <w:bookmarkStart w:id="2" w:name="_Toc339378680"/>
    </w:p>
    <w:p>
      <w:pPr>
        <w:adjustRightInd w:val="0"/>
        <w:snapToGrid w:val="0"/>
        <w:spacing w:line="360" w:lineRule="auto"/>
        <w:ind w:firstLine="480" w:firstLineChars="200"/>
        <w:outlineLvl w:val="3"/>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4.1.1项目简述</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党的十八大以来，习近平总书记高度重视影响群众健康突出问题，多次就儿童青少年近视、重大慢病防控等作出指示。疫情发生以来，强调要倡导文明健康绿色环保的生活方式，推动将健康融入所有政策，解决好关系人民健康的全局性、长期性问题。党的十九届五中全会指出，把保障人民健康放在优先发展的战略位置，为人民提供全方位全周期健康服务。省委十一届八次全会提出，实施影响群众健康突出问题攻坚行动。由于工业化、城镇化、人口老龄化和疾病谱、生态环境、生活方式不断变化，当前，我省心脑血管病、癌症、慢性呼吸系统病3类重大疾病，高血压、糖尿病2种基础疾病，出生缺陷、儿童青少年近视、精神卫生3类突出公共卫生问题（以下简称“323健康问题”），患病人数多、诊疗量大、疾病负担重，已成为影响群众健康突出问题。</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 xml:space="preserve">为贯彻落实习近平总书记系列重要指示精神，积极推进健康湖北建设，着力解决“323健康问题”，不断提升全省人民健康获得感，打造健康中国行动的“湖北样板”。根据省委十一届八次全会部署，省人民政府印发《湖北省影响群众健康突出问题“323”攻坚行动方案（2021—2025年）》，以习近平新时代中国特色社会主义思想为指导，全面贯彻新时代卫生与健康工作方针，以控制健康危险因素、实施早诊早治、构建医防协同体系为重点，以终点事件防降为目标，以深化医药卫生体制改革为动力，坚持防治结合、医防融合、资源整合，坚持政府主导、部门负责、系统联动、群防群控，健全综合防控体系和工作机制，力争通过3至5年努力，人群发病率、致死率和疾病负担明显下降，为健康湖北建设奠定坚实基础。 </w:t>
      </w:r>
    </w:p>
    <w:p>
      <w:pPr>
        <w:adjustRightInd w:val="0"/>
        <w:snapToGrid w:val="0"/>
        <w:spacing w:line="360" w:lineRule="auto"/>
        <w:ind w:firstLine="480" w:firstLineChars="200"/>
        <w:outlineLvl w:val="3"/>
        <w:rPr>
          <w:rFonts w:ascii="仿宋_GB2312" w:hAnsi="Times New Roman" w:eastAsia="仿宋_GB2312"/>
          <w:bCs/>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.1.2</w:t>
      </w:r>
      <w:bookmarkStart w:id="3" w:name="_Toc11103587"/>
      <w:r>
        <w:rPr>
          <w:rFonts w:hint="eastAsia" w:ascii="仿宋_GB2312" w:hAnsi="Times New Roman" w:eastAsia="仿宋_GB2312"/>
          <w:b/>
          <w:bCs w:val="0"/>
          <w:color w:val="000000" w:themeColor="text1"/>
          <w:sz w:val="24"/>
          <w:szCs w:val="24"/>
          <w14:textFill>
            <w14:solidFill>
              <w14:schemeClr w14:val="tx1"/>
            </w14:solidFill>
          </w14:textFill>
        </w:rPr>
        <w:t>项目目标</w:t>
      </w:r>
      <w:bookmarkEnd w:id="3"/>
      <w:r>
        <w:rPr>
          <w:rFonts w:hint="eastAsia" w:ascii="仿宋_GB2312" w:hAnsi="Times New Roman" w:eastAsia="仿宋_GB2312"/>
          <w:bCs/>
          <w:color w:val="000000" w:themeColor="text1"/>
          <w:sz w:val="24"/>
          <w:szCs w:val="24"/>
          <w14:textFill>
            <w14:solidFill>
              <w14:schemeClr w14:val="tx1"/>
            </w14:solidFill>
          </w14:textFill>
        </w:rPr>
        <w:t xml:space="preserve"> </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（一）统一设计、统一平台、统一数据库、统一标准；</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充分运用一期项目建设的技术中台、业务中台、数据中台等技术，遵循“统一设计、统一平台、统一数据库、统一标准”等原则，将“一个数据湖+四大中台“作为整个平台的应用支撑体系，通过利用其集约化建设、扁平化管理、统一技术架构、标准化并复用的核心业务能力，指导二期项目建设，实现数据与数据的汇聚、应用与数据的融合、应用与应用的协同。</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（二）云网一体化的楚天健康云，提供有力的环境支撑；</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本项目所建设的应用系统，利用一期建设的云网一体化楚天健康云提供有力的环境支撑，实现统一的计算资源、网络资源、存储资源、安全资源等基础设施服务；统一的数据库、中间件、大数据等支撑服务；统一身份认证、统一用户管理、统一支付管理等业务中台服务；统一运维、统一运营和统一安全管理等安全运维服务。</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（三）定制完成主要的专病业务应用系统；</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以“防筛管治研”中的“管理域”建设为主，建设各专病防治业务应用系统,以各专病防治管理业务视角，对专病的具体业务和应用进行细化，依托专病公用服务系统提供的各基础模块，实现专病具体的内容、规则和业务流程，提供如专病知识图谱、专病规范随访规则及内容、专病风险识别模型、专病中心填报模板、专病数据监测规范、专病管理决策辅助模型、专病质量控制模块、专病分级诊疗流程等业务模块等，以支撑专病的防、筛、管、治、研等工作。</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（四）整合设计完成专病公用服务系统</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将各个专病的共性需求进行整理、整合，通过统一的数据、功能和接口为各个专病域业务提供支撑，主要包括：健康宣教服务、智能随访服务、专科联盟管理服务、专病即时通讯等，并通过分层分级的权限管理实现功能和数据的授权和安全性管理。。</w:t>
      </w:r>
    </w:p>
    <w:p>
      <w:pPr>
        <w:adjustRightInd w:val="0"/>
        <w:snapToGrid w:val="0"/>
        <w:spacing w:line="360" w:lineRule="auto"/>
        <w:ind w:firstLine="480" w:firstLineChars="200"/>
        <w:outlineLvl w:val="2"/>
        <w:rPr>
          <w:rFonts w:ascii="仿宋_GB2312" w:hAnsi="Times New Roman" w:eastAsia="仿宋_GB2312"/>
          <w:b/>
          <w:bCs/>
          <w:color w:val="000000" w:themeColor="text1"/>
          <w:sz w:val="24"/>
          <w:szCs w:val="24"/>
          <w14:textFill>
            <w14:solidFill>
              <w14:schemeClr w14:val="tx1"/>
            </w14:solidFill>
          </w14:textFill>
        </w:rPr>
      </w:pPr>
      <w:r>
        <w:rPr>
          <w:rFonts w:hint="eastAsia" w:ascii="仿宋_GB2312" w:hAnsi="Times New Roman" w:eastAsia="仿宋_GB2312"/>
          <w:b/>
          <w:bCs/>
          <w:color w:val="000000" w:themeColor="text1"/>
          <w:sz w:val="24"/>
          <w:szCs w:val="24"/>
          <w14:textFill>
            <w14:solidFill>
              <w14:schemeClr w14:val="tx1"/>
            </w14:solidFill>
          </w14:textFill>
        </w:rPr>
        <w:t>4.</w:t>
      </w:r>
      <w:r>
        <w:rPr>
          <w:rFonts w:ascii="仿宋_GB2312" w:hAnsi="Times New Roman" w:eastAsia="仿宋_GB2312"/>
          <w:b/>
          <w:bCs/>
          <w:color w:val="000000" w:themeColor="text1"/>
          <w:sz w:val="24"/>
          <w:szCs w:val="24"/>
          <w14:textFill>
            <w14:solidFill>
              <w14:schemeClr w14:val="tx1"/>
            </w14:solidFill>
          </w14:textFill>
        </w:rPr>
        <w:t>2</w:t>
      </w:r>
      <w:r>
        <w:rPr>
          <w:rFonts w:hint="eastAsia" w:ascii="仿宋_GB2312" w:hAnsi="Times New Roman" w:eastAsia="仿宋_GB2312"/>
          <w:b/>
          <w:bCs/>
          <w:color w:val="000000" w:themeColor="text1"/>
          <w:sz w:val="24"/>
          <w:szCs w:val="24"/>
          <w14:textFill>
            <w14:solidFill>
              <w14:schemeClr w14:val="tx1"/>
            </w14:solidFill>
          </w14:textFill>
        </w:rPr>
        <w:t>项目框架</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遵循国家全民健康信息化总体布局和“智慧湖北”建设的整体要求，按照习近平总书记关于加强公共卫生应急管理体系建设重要讲话精神，围绕“323”攻坚行动，及时产生我省居民健康素养水平、慢病过早死亡率、儿童青少年近视率等多个“323”攻坚行动主要指标和健康湖北主要指标的水平值。以控制健康危险因素、实施早诊早治、构建医防协同体系为重点，以终点事件防降为目标，以深化医药卫生体制改革为动力，坚持防治结合、医防融合、资源整合，建立专病防治信息系统，从 “防、筛、管、治、研”5个方面支撑各防治中心及管理办公室。</w:t>
      </w:r>
    </w:p>
    <w:p>
      <w:pPr>
        <w:adjustRightInd w:val="0"/>
        <w:snapToGrid w:val="0"/>
        <w:spacing w:line="360" w:lineRule="auto"/>
        <w:ind w:firstLine="480" w:firstLineChars="200"/>
        <w:rPr>
          <w:rFonts w:ascii="仿宋_GB2312" w:hAnsi="Times New Roman" w:eastAsia="仿宋_GB2312"/>
          <w:b/>
          <w:bCs w:val="0"/>
          <w:color w:val="000000" w:themeColor="text1"/>
          <w:sz w:val="24"/>
          <w:szCs w:val="24"/>
          <w14:textFill>
            <w14:solidFill>
              <w14:schemeClr w14:val="tx1"/>
            </w14:solidFill>
          </w14:textFill>
        </w:rPr>
      </w:pP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.2.1.“健康湖北”门户对接</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在一期健康湖北APP、小程序、公众号三大入口已经建成的基础上，完成专病专区入口的搭建及专病应用的发布。</w:t>
      </w:r>
    </w:p>
    <w:p>
      <w:pPr>
        <w:adjustRightInd w:val="0"/>
        <w:snapToGrid w:val="0"/>
        <w:spacing w:line="360" w:lineRule="auto"/>
        <w:ind w:firstLine="480" w:firstLineChars="200"/>
        <w:rPr>
          <w:rFonts w:ascii="仿宋_GB2312" w:hAnsi="Times New Roman" w:eastAsia="仿宋_GB2312"/>
          <w:b/>
          <w:bCs w:val="0"/>
          <w:color w:val="000000" w:themeColor="text1"/>
          <w:sz w:val="24"/>
          <w:szCs w:val="24"/>
          <w14:textFill>
            <w14:solidFill>
              <w14:schemeClr w14:val="tx1"/>
            </w14:solidFill>
          </w14:textFill>
        </w:rPr>
      </w:pP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.2.2.专病防治管理系统</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为攻坚行动各个专病的防治提供基础业务平台，通过将现有信息化系统提供的各类数据、业务、能力进行统一的封装，形成专病管理系统平台，为各级323管理办公室及专病防治中心提供323攻坚行动的核心指标监测、任务管理、指标考核等工具。</w:t>
      </w:r>
    </w:p>
    <w:p>
      <w:pPr>
        <w:adjustRightInd w:val="0"/>
        <w:snapToGrid w:val="0"/>
        <w:spacing w:line="360" w:lineRule="auto"/>
        <w:ind w:firstLine="480" w:firstLineChars="200"/>
        <w:rPr>
          <w:rFonts w:ascii="仿宋_GB2312" w:hAnsi="Times New Roman" w:eastAsia="仿宋_GB2312"/>
          <w:b/>
          <w:bCs w:val="0"/>
          <w:color w:val="000000" w:themeColor="text1"/>
          <w:sz w:val="24"/>
          <w:szCs w:val="24"/>
          <w14:textFill>
            <w14:solidFill>
              <w14:schemeClr w14:val="tx1"/>
            </w14:solidFill>
          </w14:textFill>
        </w:rPr>
      </w:pP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.2.3.专病业务系统</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（一）建设心血管专病防治系统，提高居民对心血管疾病的认知，提升心血管疾病防治获得感，提高基层工作人员开展心血管病防治工作的效率。</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（二）建设脑卒中防治应用系统，实现脑卒中疾病防治、诊疗、急救、教学一体化服务，全面提升省内各级医疗机构的脑卒中防控与救治服务水平。</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（三）建设精神卫生防治应用系统，为区域内居民提供住院医疗服务和后续康复等在内的“全流程、闭环式”健康服务，加强重大疾病诊疗服务实时管理与控制，加强患者救治，提高治疗效果。</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（四）儿童青少年视力问题防治应用系统，以儿童青少年视力“筛”查数据为基础，建立儿童青少年眼健康本底档案，将儿童青少年视力的防、筛、管、治、研，形成完整闭环建立到统一的信息化平台中。</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（五）出生缺陷综合防治应用系统，依托湖北省妇幼健康服务管理信息系统，提供出生缺陷防控服务，包括：婚检、孕优健康检查、孕早检、产前筛查与诊断、新筛、听筛、先心病筛查、耳聋基因筛查等。</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六）慢性呼吸系统疾病防治应用系统，以慢性呼吸系统标准化数据库为基础，参考和借鉴国内外标准的设计理念、逻辑框架，综合考虑原始数据质量、使用需求、权威性、标准性等因素，形成满足“323”攻坚行动要求的数据体系。</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（七）癌症防治应用系统，搭建以以癌症的“防、筛、管、治、研”工作为核心内容的、 “省-市-县三级”上下联动的综合性的湖北省癌症防治信息平台。实现癌症健康教育、癌症防筛、癌症诊疗规范化质控、癌症档案管理等功能。</w:t>
      </w:r>
    </w:p>
    <w:p>
      <w:pPr>
        <w:adjustRightInd w:val="0"/>
        <w:snapToGrid w:val="0"/>
        <w:spacing w:line="360" w:lineRule="auto"/>
        <w:ind w:firstLine="480" w:firstLineChars="200"/>
        <w:rPr>
          <w:rFonts w:ascii="仿宋_GB2312" w:hAnsi="Times New Roman" w:eastAsia="仿宋_GB2312"/>
          <w:bCs/>
          <w:color w:val="000000" w:themeColor="text1"/>
          <w:sz w:val="24"/>
          <w:szCs w:val="24"/>
          <w14:textFill>
            <w14:solidFill>
              <w14:schemeClr w14:val="tx1"/>
            </w14:solidFill>
          </w14:textFill>
        </w:rPr>
      </w:pP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.2.4.专病防治公用服务</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为支撑专病应用系统的可持续发展，降低专病业务系统开发复杂度和工作量，避免共性化功能在各个专病业务系统中重复建设，建立专病公用服务系统系统。</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bookmarkStart w:id="4" w:name="_Hlk86393234"/>
      <w:r>
        <w:rPr>
          <w:rFonts w:hint="eastAsia" w:ascii="仿宋_GB2312" w:hAnsi="Times New Roman" w:eastAsia="仿宋_GB2312"/>
          <w:color w:val="000000" w:themeColor="text1"/>
          <w:sz w:val="24"/>
          <w:szCs w:val="24"/>
          <w14:textFill>
            <w14:solidFill>
              <w14:schemeClr w14:val="tx1"/>
            </w14:solidFill>
          </w14:textFill>
        </w:rPr>
        <w:t>（一）</w:t>
      </w:r>
      <w:bookmarkEnd w:id="4"/>
      <w:r>
        <w:rPr>
          <w:rFonts w:hint="eastAsia" w:ascii="仿宋_GB2312" w:hAnsi="Times New Roman" w:eastAsia="仿宋_GB2312"/>
          <w:color w:val="000000" w:themeColor="text1"/>
          <w:sz w:val="24"/>
          <w:szCs w:val="24"/>
          <w14:textFill>
            <w14:solidFill>
              <w14:schemeClr w14:val="tx1"/>
            </w14:solidFill>
          </w14:textFill>
        </w:rPr>
        <w:t>专病宣教服务，提供完整的内容前后台管理能力，实现两种内容接入方式：直接使用健康通用内容页面和通过API方式调用内容字段，前端根据业务形态自定义展现形式。</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（二）智能随访服务，面向各个专病防治中心提供能满足基层及临床场景下的完整的规范化随访工具，形成“随访-反馈-随访”的闭环。</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（三）专科联盟管理服务，提供专科联盟管理、质控、地图服务、医疗监管、培训支持、指标管理、分级诊疗在内的服务。</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（四）专病即时通讯，支持省市县三级专病防治相关行政管理人员、专病防治管理办公室和7大专病省市县三级的防治中心工作人员通过统一的即时通信系统实现专病移动端应用交互。</w:t>
      </w:r>
    </w:p>
    <w:p>
      <w:pPr>
        <w:adjustRightInd w:val="0"/>
        <w:snapToGrid w:val="0"/>
        <w:spacing w:line="360" w:lineRule="auto"/>
        <w:ind w:firstLine="480" w:firstLineChars="200"/>
        <w:rPr>
          <w:rFonts w:ascii="仿宋_GB2312" w:hAnsi="Times New Roman" w:eastAsia="仿宋_GB2312"/>
          <w:b/>
          <w:bCs w:val="0"/>
          <w:color w:val="000000" w:themeColor="text1"/>
          <w:sz w:val="24"/>
          <w:szCs w:val="24"/>
          <w14:textFill>
            <w14:solidFill>
              <w14:schemeClr w14:val="tx1"/>
            </w14:solidFill>
          </w14:textFill>
        </w:rPr>
      </w:pP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 xml:space="preserve">.2.5.健康档案数据融合 </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在现有湖北省健康档案标准字段集上进行扩展，涵盖八大病种相关检查、检验、生化、用药记录等信息，以及个人饮食、运动、心理、生活指导、健康评估，健康改善指导建议等内容，并将完善健的康档案对接到部分区域公卫系统、家庭医生端应用。</w:t>
      </w:r>
    </w:p>
    <w:p>
      <w:pPr>
        <w:adjustRightInd w:val="0"/>
        <w:snapToGrid w:val="0"/>
        <w:spacing w:line="360" w:lineRule="auto"/>
        <w:ind w:firstLine="480" w:firstLineChars="200"/>
        <w:rPr>
          <w:rFonts w:ascii="仿宋_GB2312" w:hAnsi="Times New Roman" w:eastAsia="仿宋_GB2312"/>
          <w:b/>
          <w:bCs w:val="0"/>
          <w:color w:val="000000" w:themeColor="text1"/>
          <w:sz w:val="24"/>
          <w:szCs w:val="24"/>
          <w14:textFill>
            <w14:solidFill>
              <w14:schemeClr w14:val="tx1"/>
            </w14:solidFill>
          </w14:textFill>
        </w:rPr>
      </w:pP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.2.6.信息系统密码基础设施</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包括密码服务平台建设、物理和环境安全建设、网络和通信安全建设、设备和计算安全建设、应用和数据安全建设、密钥管理、密码应用部署等。</w:t>
      </w:r>
    </w:p>
    <w:p>
      <w:pPr>
        <w:adjustRightInd w:val="0"/>
        <w:snapToGrid w:val="0"/>
        <w:spacing w:line="360" w:lineRule="auto"/>
        <w:ind w:firstLine="480" w:firstLineChars="200"/>
        <w:outlineLvl w:val="2"/>
        <w:rPr>
          <w:rFonts w:ascii="仿宋_GB2312" w:hAnsi="Times New Roman" w:eastAsia="仿宋_GB2312"/>
          <w:b/>
          <w:bCs/>
          <w:color w:val="000000" w:themeColor="text1"/>
          <w:sz w:val="24"/>
          <w:szCs w:val="24"/>
          <w14:textFill>
            <w14:solidFill>
              <w14:schemeClr w14:val="tx1"/>
            </w14:solidFill>
          </w14:textFill>
        </w:rPr>
      </w:pPr>
      <w:r>
        <w:rPr>
          <w:rFonts w:hint="eastAsia" w:ascii="仿宋_GB2312" w:hAnsi="Times New Roman" w:eastAsia="仿宋_GB2312"/>
          <w:b/>
          <w:bCs/>
          <w:color w:val="000000" w:themeColor="text1"/>
          <w:sz w:val="24"/>
          <w:szCs w:val="24"/>
          <w14:textFill>
            <w14:solidFill>
              <w14:schemeClr w14:val="tx1"/>
            </w14:solidFill>
          </w14:textFill>
        </w:rPr>
        <w:t>4.</w:t>
      </w:r>
      <w:r>
        <w:rPr>
          <w:rFonts w:ascii="仿宋_GB2312" w:hAnsi="Times New Roman" w:eastAsia="仿宋_GB2312"/>
          <w:b/>
          <w:bCs/>
          <w:color w:val="000000" w:themeColor="text1"/>
          <w:sz w:val="24"/>
          <w:szCs w:val="24"/>
          <w14:textFill>
            <w14:solidFill>
              <w14:schemeClr w14:val="tx1"/>
            </w14:solidFill>
          </w14:textFill>
        </w:rPr>
        <w:t>3</w:t>
      </w:r>
      <w:r>
        <w:rPr>
          <w:rFonts w:hint="eastAsia" w:ascii="仿宋_GB2312" w:hAnsi="Times New Roman" w:eastAsia="仿宋_GB2312"/>
          <w:b/>
          <w:bCs/>
          <w:color w:val="000000" w:themeColor="text1"/>
          <w:sz w:val="24"/>
          <w:szCs w:val="24"/>
          <w14:textFill>
            <w14:solidFill>
              <w14:schemeClr w14:val="tx1"/>
            </w14:solidFill>
          </w14:textFill>
        </w:rPr>
        <w:t>服务内容</w:t>
      </w:r>
    </w:p>
    <w:p>
      <w:pPr>
        <w:adjustRightInd w:val="0"/>
        <w:snapToGrid w:val="0"/>
        <w:spacing w:line="360" w:lineRule="auto"/>
        <w:ind w:firstLine="480" w:firstLineChars="200"/>
        <w:rPr>
          <w:rFonts w:ascii="仿宋_GB2312" w:hAnsi="Times New Roman" w:eastAsia="仿宋_GB2312"/>
          <w:b/>
          <w:bCs/>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供应商须按照采购人要求针对本项目提供包括但不限于实地调研、需求分析、方案设计、评审及验收、材料整理归档、技术咨询服务等采购人要求的相关服务，具体服务内容如下所示：</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3</w:t>
      </w:r>
      <w:r>
        <w:rPr>
          <w:rFonts w:hint="eastAsia" w:ascii="仿宋_GB2312" w:hAnsi="Times New Roman" w:eastAsia="仿宋_GB2312"/>
          <w:b/>
          <w:bCs w:val="0"/>
          <w:color w:val="000000" w:themeColor="text1"/>
          <w:sz w:val="24"/>
          <w:szCs w:val="24"/>
          <w14:textFill>
            <w14:solidFill>
              <w14:schemeClr w14:val="tx1"/>
            </w14:solidFill>
          </w14:textFill>
        </w:rPr>
        <w:t>.1需求分析：</w:t>
      </w:r>
      <w:r>
        <w:rPr>
          <w:rFonts w:hint="eastAsia" w:ascii="仿宋_GB2312" w:hAnsi="Times New Roman" w:eastAsia="仿宋_GB2312"/>
          <w:color w:val="000000" w:themeColor="text1"/>
          <w:sz w:val="24"/>
          <w:szCs w:val="24"/>
          <w14:textFill>
            <w14:solidFill>
              <w14:schemeClr w14:val="tx1"/>
            </w14:solidFill>
          </w14:textFill>
        </w:rPr>
        <w:t>湖北省健康医疗大数据中心暨公共卫生应急管理平台之业务需求确认单、数据共享三清单、技术方案和建设需求等。</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3</w:t>
      </w:r>
      <w:r>
        <w:rPr>
          <w:rFonts w:hint="eastAsia" w:ascii="仿宋_GB2312" w:hAnsi="Times New Roman" w:eastAsia="仿宋_GB2312"/>
          <w:b/>
          <w:bCs w:val="0"/>
          <w:color w:val="000000" w:themeColor="text1"/>
          <w:sz w:val="24"/>
          <w:szCs w:val="24"/>
          <w14:textFill>
            <w14:solidFill>
              <w14:schemeClr w14:val="tx1"/>
            </w14:solidFill>
          </w14:textFill>
        </w:rPr>
        <w:t>.2方案设计：</w:t>
      </w:r>
      <w:r>
        <w:rPr>
          <w:rFonts w:hint="eastAsia" w:ascii="仿宋_GB2312" w:hAnsi="Times New Roman" w:eastAsia="仿宋_GB2312"/>
          <w:color w:val="000000" w:themeColor="text1"/>
          <w:sz w:val="24"/>
          <w:szCs w:val="24"/>
          <w14:textFill>
            <w14:solidFill>
              <w14:schemeClr w14:val="tx1"/>
            </w14:solidFill>
          </w14:textFill>
        </w:rPr>
        <w:t>《湖北省健康医疗大数据中心暨公共卫生应急管理平台建设项目二期初步设计》。</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3</w:t>
      </w:r>
      <w:r>
        <w:rPr>
          <w:rFonts w:hint="eastAsia" w:ascii="仿宋_GB2312" w:hAnsi="Times New Roman" w:eastAsia="仿宋_GB2312"/>
          <w:b/>
          <w:bCs w:val="0"/>
          <w:color w:val="000000" w:themeColor="text1"/>
          <w:sz w:val="24"/>
          <w:szCs w:val="24"/>
          <w14:textFill>
            <w14:solidFill>
              <w14:schemeClr w14:val="tx1"/>
            </w14:solidFill>
          </w14:textFill>
        </w:rPr>
        <w:t>.3评审及验收：</w:t>
      </w:r>
      <w:r>
        <w:rPr>
          <w:rFonts w:hint="eastAsia" w:ascii="仿宋_GB2312" w:hAnsi="Times New Roman" w:eastAsia="仿宋_GB2312"/>
          <w:color w:val="000000" w:themeColor="text1"/>
          <w:sz w:val="24"/>
          <w:szCs w:val="24"/>
          <w14:textFill>
            <w14:solidFill>
              <w14:schemeClr w14:val="tx1"/>
            </w14:solidFill>
          </w14:textFill>
        </w:rPr>
        <w:t>《湖北省健康医疗大数据中心暨公共卫生应急管理平台建设项目二期初步设计》修订版。</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3</w:t>
      </w:r>
      <w:r>
        <w:rPr>
          <w:rFonts w:hint="eastAsia" w:ascii="仿宋_GB2312" w:hAnsi="Times New Roman" w:eastAsia="仿宋_GB2312"/>
          <w:b/>
          <w:bCs w:val="0"/>
          <w:color w:val="000000" w:themeColor="text1"/>
          <w:sz w:val="24"/>
          <w:szCs w:val="24"/>
          <w14:textFill>
            <w14:solidFill>
              <w14:schemeClr w14:val="tx1"/>
            </w14:solidFill>
          </w14:textFill>
        </w:rPr>
        <w:t>.4材料整理归档：</w:t>
      </w:r>
      <w:r>
        <w:rPr>
          <w:rFonts w:hint="eastAsia" w:ascii="仿宋_GB2312" w:hAnsi="Times New Roman" w:eastAsia="仿宋_GB2312"/>
          <w:color w:val="000000" w:themeColor="text1"/>
          <w:sz w:val="24"/>
          <w:szCs w:val="24"/>
          <w14:textFill>
            <w14:solidFill>
              <w14:schemeClr w14:val="tx1"/>
            </w14:solidFill>
          </w14:textFill>
        </w:rPr>
        <w:t>将编制服务过程中产生的相关技术成果、材料整理归档，有序移交采购人。</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3</w:t>
      </w:r>
      <w:r>
        <w:rPr>
          <w:rFonts w:hint="eastAsia" w:ascii="仿宋_GB2312" w:hAnsi="Times New Roman" w:eastAsia="仿宋_GB2312"/>
          <w:b/>
          <w:bCs w:val="0"/>
          <w:color w:val="000000" w:themeColor="text1"/>
          <w:sz w:val="24"/>
          <w:szCs w:val="24"/>
          <w14:textFill>
            <w14:solidFill>
              <w14:schemeClr w14:val="tx1"/>
            </w14:solidFill>
          </w14:textFill>
        </w:rPr>
        <w:t>.5技术咨询服务：</w:t>
      </w:r>
      <w:r>
        <w:rPr>
          <w:rFonts w:hint="eastAsia" w:ascii="仿宋_GB2312" w:hAnsi="Times New Roman" w:eastAsia="仿宋_GB2312"/>
          <w:color w:val="000000" w:themeColor="text1"/>
          <w:sz w:val="24"/>
          <w:szCs w:val="24"/>
          <w14:textFill>
            <w14:solidFill>
              <w14:schemeClr w14:val="tx1"/>
            </w14:solidFill>
          </w14:textFill>
        </w:rPr>
        <w:t>项目初步设计编制服务中提供技术咨询意见和建议、解释说明方案中各项建设内容、功能性能指标、技术实现原理等。</w:t>
      </w:r>
    </w:p>
    <w:p>
      <w:pPr>
        <w:adjustRightInd w:val="0"/>
        <w:snapToGrid w:val="0"/>
        <w:spacing w:line="360" w:lineRule="auto"/>
        <w:ind w:firstLine="480" w:firstLineChars="200"/>
        <w:outlineLvl w:val="2"/>
        <w:rPr>
          <w:rFonts w:ascii="仿宋_GB2312" w:hAnsi="Times New Roman" w:eastAsia="仿宋_GB2312"/>
          <w:b/>
          <w:bCs/>
          <w:color w:val="000000" w:themeColor="text1"/>
          <w:sz w:val="24"/>
          <w:szCs w:val="24"/>
          <w14:textFill>
            <w14:solidFill>
              <w14:schemeClr w14:val="tx1"/>
            </w14:solidFill>
          </w14:textFill>
        </w:rPr>
      </w:pPr>
      <w:r>
        <w:rPr>
          <w:rFonts w:hint="eastAsia" w:ascii="仿宋_GB2312" w:hAnsi="Times New Roman" w:eastAsia="仿宋_GB2312"/>
          <w:b/>
          <w:bCs/>
          <w:color w:val="000000" w:themeColor="text1"/>
          <w:sz w:val="24"/>
          <w:szCs w:val="24"/>
          <w14:textFill>
            <w14:solidFill>
              <w14:schemeClr w14:val="tx1"/>
            </w14:solidFill>
          </w14:textFill>
        </w:rPr>
        <w:t>4.</w:t>
      </w:r>
      <w:r>
        <w:rPr>
          <w:rFonts w:ascii="仿宋_GB2312" w:hAnsi="Times New Roman" w:eastAsia="仿宋_GB2312"/>
          <w:b/>
          <w:bCs/>
          <w:color w:val="000000" w:themeColor="text1"/>
          <w:sz w:val="24"/>
          <w:szCs w:val="24"/>
          <w14:textFill>
            <w14:solidFill>
              <w14:schemeClr w14:val="tx1"/>
            </w14:solidFill>
          </w14:textFill>
        </w:rPr>
        <w:t>4</w:t>
      </w:r>
      <w:r>
        <w:rPr>
          <w:rFonts w:hint="eastAsia" w:ascii="仿宋_GB2312" w:hAnsi="Times New Roman" w:eastAsia="仿宋_GB2312"/>
          <w:b/>
          <w:bCs/>
          <w:color w:val="000000" w:themeColor="text1"/>
          <w:sz w:val="24"/>
          <w:szCs w:val="24"/>
          <w14:textFill>
            <w14:solidFill>
              <w14:schemeClr w14:val="tx1"/>
            </w14:solidFill>
          </w14:textFill>
        </w:rPr>
        <w:t>服务要求</w:t>
      </w:r>
    </w:p>
    <w:p>
      <w:pPr>
        <w:adjustRightInd w:val="0"/>
        <w:snapToGrid w:val="0"/>
        <w:spacing w:line="360" w:lineRule="auto"/>
        <w:ind w:firstLine="480" w:firstLineChars="200"/>
        <w:outlineLvl w:val="3"/>
        <w:rPr>
          <w:rFonts w:ascii="仿宋_GB2312" w:hAnsi="Times New Roman" w:eastAsia="仿宋_GB2312"/>
          <w:b/>
          <w:bCs w:val="0"/>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.1总体要求</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bookmarkStart w:id="5" w:name="_Hlk86393246"/>
      <w:r>
        <w:rPr>
          <w:rFonts w:hint="eastAsia" w:ascii="仿宋_GB2312" w:hAnsi="Times New Roman" w:eastAsia="仿宋_GB2312"/>
          <w:bCs/>
          <w:color w:val="000000" w:themeColor="text1"/>
          <w:sz w:val="24"/>
          <w:szCs w:val="24"/>
          <w14:textFill>
            <w14:solidFill>
              <w14:schemeClr w14:val="tx1"/>
            </w14:solidFill>
          </w14:textFill>
        </w:rPr>
        <w:t>（一）</w:t>
      </w:r>
      <w:bookmarkEnd w:id="5"/>
      <w:r>
        <w:rPr>
          <w:rFonts w:hint="eastAsia" w:ascii="仿宋_GB2312" w:hAnsi="Times New Roman" w:eastAsia="仿宋_GB2312"/>
          <w:bCs/>
          <w:color w:val="000000" w:themeColor="text1"/>
          <w:sz w:val="24"/>
          <w:szCs w:val="24"/>
          <w14:textFill>
            <w14:solidFill>
              <w14:schemeClr w14:val="tx1"/>
            </w14:solidFill>
          </w14:textFill>
        </w:rPr>
        <w:t>全面性：</w:t>
      </w:r>
      <w:r>
        <w:rPr>
          <w:rFonts w:hint="eastAsia" w:ascii="仿宋_GB2312" w:hAnsi="Times New Roman" w:eastAsia="仿宋_GB2312"/>
          <w:color w:val="000000" w:themeColor="text1"/>
          <w:sz w:val="24"/>
          <w:szCs w:val="24"/>
          <w14:textFill>
            <w14:solidFill>
              <w14:schemeClr w14:val="tx1"/>
            </w14:solidFill>
          </w14:textFill>
        </w:rPr>
        <w:t>在前期立项申报相关材料基础上，遵循国家相关技术规范，湖北省信息化项目建设相关政策、法规、标准、规范，并统筹考虑各级卫生健康行政部门、医疗机构、公卫机构业务需求。</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Cs/>
          <w:color w:val="000000" w:themeColor="text1"/>
          <w:sz w:val="24"/>
          <w:szCs w:val="24"/>
          <w14:textFill>
            <w14:solidFill>
              <w14:schemeClr w14:val="tx1"/>
            </w14:solidFill>
          </w14:textFill>
        </w:rPr>
        <w:t>（二）整体性：</w:t>
      </w:r>
      <w:r>
        <w:rPr>
          <w:rFonts w:hint="eastAsia" w:ascii="仿宋_GB2312" w:hAnsi="Times New Roman" w:eastAsia="仿宋_GB2312"/>
          <w:color w:val="000000" w:themeColor="text1"/>
          <w:sz w:val="24"/>
          <w:szCs w:val="24"/>
          <w14:textFill>
            <w14:solidFill>
              <w14:schemeClr w14:val="tx1"/>
            </w14:solidFill>
          </w14:textFill>
        </w:rPr>
        <w:t>应体现“整体谋划、系统重塑、全面提升”的总体思路，对湖北省健康医疗大数据中心暨公共卫生应急管理平台建设项目二期建设、应用、资源管理、业务拓展进行全面设计，具有前瞻性。</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Cs/>
          <w:color w:val="000000" w:themeColor="text1"/>
          <w:sz w:val="24"/>
          <w:szCs w:val="24"/>
          <w14:textFill>
            <w14:solidFill>
              <w14:schemeClr w14:val="tx1"/>
            </w14:solidFill>
          </w14:textFill>
        </w:rPr>
        <w:t>（三）可操作性：</w:t>
      </w:r>
      <w:r>
        <w:rPr>
          <w:rFonts w:hint="eastAsia" w:ascii="仿宋_GB2312" w:hAnsi="Times New Roman" w:eastAsia="仿宋_GB2312"/>
          <w:color w:val="000000" w:themeColor="text1"/>
          <w:sz w:val="24"/>
          <w:szCs w:val="24"/>
          <w14:textFill>
            <w14:solidFill>
              <w14:schemeClr w14:val="tx1"/>
            </w14:solidFill>
          </w14:textFill>
        </w:rPr>
        <w:t>设计方案各项功能、性能指标合理，为项目评测工作提供参考，能够指导监理或测评单位编制项目验收文件。</w:t>
      </w:r>
    </w:p>
    <w:p>
      <w:pPr>
        <w:adjustRightInd w:val="0"/>
        <w:snapToGrid w:val="0"/>
        <w:spacing w:line="360" w:lineRule="auto"/>
        <w:ind w:firstLine="480" w:firstLineChars="200"/>
        <w:rPr>
          <w:rFonts w:ascii="仿宋_GB2312" w:hAnsi="Times New Roman" w:eastAsia="仿宋_GB2312"/>
          <w:sz w:val="24"/>
          <w:szCs w:val="24"/>
        </w:rPr>
      </w:pPr>
      <w:r>
        <w:rPr>
          <w:rFonts w:hint="eastAsia" w:ascii="仿宋_GB2312" w:hAnsi="Times New Roman" w:eastAsia="仿宋_GB2312"/>
          <w:bCs/>
          <w:color w:val="000000" w:themeColor="text1"/>
          <w:sz w:val="24"/>
          <w:szCs w:val="24"/>
          <w14:textFill>
            <w14:solidFill>
              <w14:schemeClr w14:val="tx1"/>
            </w14:solidFill>
          </w14:textFill>
        </w:rPr>
        <w:t>（四）针对性：</w:t>
      </w:r>
      <w:r>
        <w:rPr>
          <w:rFonts w:hint="eastAsia" w:ascii="仿宋_GB2312" w:hAnsi="Times New Roman" w:eastAsia="仿宋_GB2312"/>
          <w:color w:val="000000" w:themeColor="text1"/>
          <w:sz w:val="24"/>
          <w:szCs w:val="24"/>
          <w14:textFill>
            <w14:solidFill>
              <w14:schemeClr w14:val="tx1"/>
            </w14:solidFill>
          </w14:textFill>
        </w:rPr>
        <w:t>设计必须具有很强的针对性，对于现状存在的问题，发展的需求，设计要解决的问题，采购人关注的重要问题，新技术的运用等方面</w:t>
      </w:r>
      <w:r>
        <w:rPr>
          <w:rFonts w:hint="eastAsia" w:ascii="仿宋_GB2312" w:hAnsi="Times New Roman" w:eastAsia="仿宋_GB2312"/>
          <w:sz w:val="24"/>
          <w:szCs w:val="24"/>
        </w:rPr>
        <w:t>进行针对性的论证和设计。</w:t>
      </w:r>
    </w:p>
    <w:p>
      <w:pPr>
        <w:adjustRightInd w:val="0"/>
        <w:snapToGrid w:val="0"/>
        <w:spacing w:line="360" w:lineRule="auto"/>
        <w:ind w:firstLine="480" w:firstLineChars="200"/>
        <w:outlineLvl w:val="3"/>
        <w:rPr>
          <w:rFonts w:ascii="仿宋_GB2312" w:hAnsi="Times New Roman" w:eastAsia="仿宋_GB2312"/>
          <w:b/>
          <w:bCs w:val="0"/>
          <w:sz w:val="24"/>
          <w:szCs w:val="24"/>
        </w:rPr>
      </w:pPr>
      <w:r>
        <w:rPr>
          <w:rFonts w:hint="eastAsia" w:ascii="仿宋_GB2312" w:hAnsi="Times New Roman" w:eastAsia="仿宋_GB2312"/>
          <w:b/>
          <w:bCs w:val="0"/>
          <w:sz w:val="24"/>
          <w:szCs w:val="24"/>
        </w:rPr>
        <w:t>4.</w:t>
      </w:r>
      <w:r>
        <w:rPr>
          <w:rFonts w:ascii="仿宋_GB2312" w:hAnsi="Times New Roman" w:eastAsia="仿宋_GB2312"/>
          <w:b/>
          <w:bCs w:val="0"/>
          <w:sz w:val="24"/>
          <w:szCs w:val="24"/>
        </w:rPr>
        <w:t>4</w:t>
      </w:r>
      <w:r>
        <w:rPr>
          <w:rFonts w:hint="eastAsia" w:ascii="仿宋_GB2312" w:hAnsi="Times New Roman" w:eastAsia="仿宋_GB2312"/>
          <w:b/>
          <w:bCs w:val="0"/>
          <w:sz w:val="24"/>
          <w:szCs w:val="24"/>
        </w:rPr>
        <w:t>.2服务范围</w:t>
      </w:r>
    </w:p>
    <w:p>
      <w:pPr>
        <w:adjustRightInd w:val="0"/>
        <w:snapToGrid w:val="0"/>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本次项目采购服务的主要内容为湖北省健康医疗大数据中心暨公共卫生应急管理平台建设项目二期初步设计编制服务。具体工作包括：现状及需求调研、初步设计编制及评审验收，并按照采购人或评审要求予以修改完善，供应商的最终报价须包含本项目响应文件中规定的全部服务内容。</w:t>
      </w:r>
    </w:p>
    <w:p>
      <w:pPr>
        <w:adjustRightInd w:val="0"/>
        <w:snapToGrid w:val="0"/>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供应商可就项目前述框架要求强化设计，也可根据本项目的实际情况进行适当调整。</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（一）在初步设计批复前，若采购人或主管部门认为需要进行初步设计调整及相应修正，供应商应无条件执行，且编制费用已包括在响应报价中。</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Cs/>
          <w:color w:val="000000" w:themeColor="text1"/>
          <w:sz w:val="24"/>
          <w:szCs w:val="24"/>
          <w14:textFill>
            <w14:solidFill>
              <w14:schemeClr w14:val="tx1"/>
            </w14:solidFill>
          </w14:textFill>
        </w:rPr>
        <w:t>（二）</w:t>
      </w:r>
      <w:r>
        <w:rPr>
          <w:rFonts w:hint="eastAsia" w:ascii="仿宋_GB2312" w:hAnsi="Times New Roman" w:eastAsia="仿宋_GB2312"/>
          <w:color w:val="000000" w:themeColor="text1"/>
          <w:sz w:val="24"/>
          <w:szCs w:val="24"/>
          <w14:textFill>
            <w14:solidFill>
              <w14:schemeClr w14:val="tx1"/>
            </w14:solidFill>
          </w14:textFill>
        </w:rPr>
        <w:t>编制服务工作必须遵循国家、行业的相关标准及规范，现场工作人员须服从采购人的管理。</w:t>
      </w:r>
    </w:p>
    <w:p>
      <w:pPr>
        <w:adjustRightInd w:val="0"/>
        <w:snapToGrid w:val="0"/>
        <w:spacing w:line="360" w:lineRule="auto"/>
        <w:ind w:firstLine="480" w:firstLineChars="200"/>
        <w:outlineLvl w:val="3"/>
        <w:rPr>
          <w:rFonts w:ascii="仿宋_GB2312" w:hAnsi="Times New Roman" w:eastAsia="仿宋_GB2312"/>
          <w:bCs/>
          <w:color w:val="000000" w:themeColor="text1"/>
          <w:sz w:val="24"/>
          <w:szCs w:val="24"/>
          <w14:textFill>
            <w14:solidFill>
              <w14:schemeClr w14:val="tx1"/>
            </w14:solidFill>
          </w14:textFill>
        </w:rPr>
      </w:pPr>
      <w:r>
        <w:rPr>
          <w:rFonts w:hint="eastAsia" w:ascii="仿宋_GB2312" w:hAnsi="Times New Roman" w:eastAsia="仿宋_GB2312"/>
          <w:b/>
          <w:bCs w:val="0"/>
          <w:color w:val="000000" w:themeColor="text1"/>
          <w:sz w:val="24"/>
          <w:szCs w:val="24"/>
          <w14:textFill>
            <w14:solidFill>
              <w14:schemeClr w14:val="tx1"/>
            </w14:solidFill>
          </w14:textFill>
        </w:rPr>
        <w:t>4.</w:t>
      </w:r>
      <w:r>
        <w:rPr>
          <w:rFonts w:ascii="仿宋_GB2312" w:hAnsi="Times New Roman" w:eastAsia="仿宋_GB2312"/>
          <w:b/>
          <w:bCs w:val="0"/>
          <w:color w:val="000000" w:themeColor="text1"/>
          <w:sz w:val="24"/>
          <w:szCs w:val="24"/>
          <w14:textFill>
            <w14:solidFill>
              <w14:schemeClr w14:val="tx1"/>
            </w14:solidFill>
          </w14:textFill>
        </w:rPr>
        <w:t>4</w:t>
      </w:r>
      <w:r>
        <w:rPr>
          <w:rFonts w:hint="eastAsia" w:ascii="仿宋_GB2312" w:hAnsi="Times New Roman" w:eastAsia="仿宋_GB2312"/>
          <w:b/>
          <w:bCs w:val="0"/>
          <w:color w:val="000000" w:themeColor="text1"/>
          <w:sz w:val="24"/>
          <w:szCs w:val="24"/>
          <w14:textFill>
            <w14:solidFill>
              <w14:schemeClr w14:val="tx1"/>
            </w14:solidFill>
          </w14:textFill>
        </w:rPr>
        <w:t>.3设计要求</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一）初步设计编制应遵循国家标准、国家卫生健康委标准及现行的技术标准和规范，确保初步设计的科学性。初步设计应满足现有卫生健康业务能力需求，同时兼顾考虑未来可能的业务发展需求，具有良好的可扩展性与兼容性。平台（或系统）运行安全、维护易操作、易管理。充分考虑建设条件及相关系统现状，保证方案可实施。系统配置合理、在满足</w:t>
      </w:r>
      <w:r>
        <w:rPr>
          <w:rFonts w:hint="eastAsia" w:ascii="仿宋_GB2312" w:hAnsi="Times New Roman" w:eastAsia="仿宋_GB2312"/>
          <w:color w:val="000000" w:themeColor="text1"/>
          <w:sz w:val="24"/>
          <w:szCs w:val="24"/>
          <w:lang w:eastAsia="zh-CN"/>
          <w14:textFill>
            <w14:solidFill>
              <w14:schemeClr w14:val="tx1"/>
            </w14:solidFill>
          </w14:textFill>
        </w:rPr>
        <w:t>项目</w:t>
      </w:r>
      <w:r>
        <w:rPr>
          <w:rFonts w:hint="eastAsia" w:ascii="仿宋_GB2312" w:hAnsi="Times New Roman" w:eastAsia="仿宋_GB2312"/>
          <w:color w:val="000000" w:themeColor="text1"/>
          <w:sz w:val="24"/>
          <w:szCs w:val="24"/>
          <w14:textFill>
            <w14:solidFill>
              <w14:schemeClr w14:val="tx1"/>
            </w14:solidFill>
          </w14:textFill>
        </w:rPr>
        <w:t>建设需求前提下尽量减少投资，经济实用。</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（二）初步设计编制中的文字、名词、图形符号、计量单位等，都应采用现行的国家标准和部标准。</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（三）要求提供包含全套纸质、电子版的文件，其中纸质文本10套、电子版（含word及pdf文件）1套。</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（四）初步设计的编制应规范化、标准化。应利于采购人归档保存。</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（五）初步设计的深度应通过采购人或主管部门组织的专家评审，初步设计能够指导项目承建单位在此基础上开展概要设计、详细设计和功能开发。</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（六）初步设计内容应包括但不限于以下内容：</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（1）提出本项目的建设原则、建设目标、建设内容、建设规模等。</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（2）结合项目建设目标，针对建设内容提出详细的现状及需求分析。</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（3）针对当前公共卫生应急管理信息化建设存在的主要问题，结合已有工作成果以及技术发展趋势，细化本项目的各项业务功能、业务场景、业务流程和业务量。</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（4）提出项目的总体架构、各分子系统的建设方案。</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（5）提出项目的方案、以及环保、消防、职业安全与卫生、节能措施分析。</w:t>
      </w:r>
    </w:p>
    <w:p>
      <w:pPr>
        <w:adjustRightInd w:val="0"/>
        <w:snapToGrid w:val="0"/>
        <w:spacing w:line="360" w:lineRule="auto"/>
        <w:ind w:firstLine="480" w:firstLineChars="200"/>
        <w:outlineLvl w:val="3"/>
        <w:rPr>
          <w:rFonts w:ascii="仿宋_GB2312" w:hAnsi="Times New Roman" w:eastAsia="仿宋_GB2312"/>
          <w:b/>
          <w:bCs/>
          <w:color w:val="000000" w:themeColor="text1"/>
          <w:sz w:val="24"/>
          <w:szCs w:val="24"/>
          <w14:textFill>
            <w14:solidFill>
              <w14:schemeClr w14:val="tx1"/>
            </w14:solidFill>
          </w14:textFill>
        </w:rPr>
      </w:pPr>
      <w:r>
        <w:rPr>
          <w:rFonts w:hint="eastAsia" w:ascii="仿宋_GB2312" w:hAnsi="Times New Roman" w:eastAsia="仿宋_GB2312"/>
          <w:b/>
          <w:bCs/>
          <w:color w:val="000000" w:themeColor="text1"/>
          <w:sz w:val="24"/>
          <w:szCs w:val="24"/>
          <w14:textFill>
            <w14:solidFill>
              <w14:schemeClr w14:val="tx1"/>
            </w14:solidFill>
          </w14:textFill>
        </w:rPr>
        <w:t>4.</w:t>
      </w:r>
      <w:r>
        <w:rPr>
          <w:rFonts w:ascii="仿宋_GB2312" w:hAnsi="Times New Roman" w:eastAsia="仿宋_GB2312"/>
          <w:b/>
          <w:bCs/>
          <w:color w:val="000000" w:themeColor="text1"/>
          <w:sz w:val="24"/>
          <w:szCs w:val="24"/>
          <w14:textFill>
            <w14:solidFill>
              <w14:schemeClr w14:val="tx1"/>
            </w14:solidFill>
          </w14:textFill>
        </w:rPr>
        <w:t>4</w:t>
      </w:r>
      <w:r>
        <w:rPr>
          <w:rFonts w:hint="eastAsia" w:ascii="仿宋_GB2312" w:hAnsi="Times New Roman" w:eastAsia="仿宋_GB2312"/>
          <w:b/>
          <w:bCs/>
          <w:color w:val="000000" w:themeColor="text1"/>
          <w:sz w:val="24"/>
          <w:szCs w:val="24"/>
          <w14:textFill>
            <w14:solidFill>
              <w14:schemeClr w14:val="tx1"/>
            </w14:solidFill>
          </w14:textFill>
        </w:rPr>
        <w:t>.4成果移交</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（一）成果内容必须符合本项目招标文件的有关要求和国家有关标准，并根据采购人研讨、报批、行文等编制需要提供相应的文本及资料。</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（二）成果应包括（但不限于）《湖北省健康医疗大数据中心暨公共卫生应急管理平台初步设计》和编制说明。供应商须按采购人提出的内容和要求完成最终成果的编制。</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（三）最终成果内容必须清晰完整，所包含的相关图纸内容必须全面、准确。</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（四）全部最终成果均应制作计算机文件，图片采用JPG的文件格式，文本文件采用Microsoft</w:t>
      </w:r>
      <w:r>
        <w:rPr>
          <w:rFonts w:ascii="仿宋_GB2312" w:hAnsi="Times New Roman" w:eastAsia="仿宋_GB2312"/>
          <w:color w:val="000000" w:themeColor="text1"/>
          <w:sz w:val="24"/>
          <w:szCs w:val="24"/>
          <w14:textFill>
            <w14:solidFill>
              <w14:schemeClr w14:val="tx1"/>
            </w14:solidFill>
          </w14:textFill>
        </w:rPr>
        <w:t xml:space="preserve"> </w:t>
      </w:r>
      <w:r>
        <w:rPr>
          <w:rFonts w:hint="eastAsia" w:ascii="仿宋_GB2312" w:hAnsi="Times New Roman" w:eastAsia="仿宋_GB2312"/>
          <w:color w:val="000000" w:themeColor="text1"/>
          <w:sz w:val="24"/>
          <w:szCs w:val="24"/>
          <w14:textFill>
            <w14:solidFill>
              <w14:schemeClr w14:val="tx1"/>
            </w14:solidFill>
          </w14:textFill>
        </w:rPr>
        <w:t>word格式文件，其它格式需根据采购人要求制作。</w:t>
      </w:r>
    </w:p>
    <w:p>
      <w:pPr>
        <w:adjustRightInd w:val="0"/>
        <w:snapToGrid w:val="0"/>
        <w:spacing w:line="360" w:lineRule="auto"/>
        <w:ind w:firstLine="480" w:firstLineChars="200"/>
        <w:outlineLvl w:val="3"/>
        <w:rPr>
          <w:rFonts w:hint="eastAsia" w:ascii="仿宋_GB2312" w:hAnsi="Times New Roman" w:eastAsia="仿宋_GB2312"/>
          <w:b/>
          <w:bCs/>
          <w:color w:val="000000" w:themeColor="text1"/>
          <w:sz w:val="24"/>
          <w:szCs w:val="24"/>
          <w14:textFill>
            <w14:solidFill>
              <w14:schemeClr w14:val="tx1"/>
            </w14:solidFill>
          </w14:textFill>
        </w:rPr>
      </w:pPr>
      <w:r>
        <w:rPr>
          <w:rFonts w:hint="eastAsia" w:ascii="仿宋_GB2312" w:hAnsi="Times New Roman" w:eastAsia="仿宋_GB2312"/>
          <w:b/>
          <w:bCs/>
          <w:color w:val="000000" w:themeColor="text1"/>
          <w:sz w:val="24"/>
          <w:szCs w:val="24"/>
          <w14:textFill>
            <w14:solidFill>
              <w14:schemeClr w14:val="tx1"/>
            </w14:solidFill>
          </w14:textFill>
        </w:rPr>
        <w:t>4.4.5设计文档要求</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（一）清晰性和可读性：业务需求分析、深化设计成果的描述要简单易懂。尽量采用“主语＋动作”的简单表达方式；</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（二）完整性：全面反映湖北省健康医疗大数据中心暨公共卫生应急管理平台项目的业务需求、功能需求，做到不遗漏，全覆盖，从最初的需求计划制定到最后的需求及深化设计评审；</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（三）一致性：业务需求分析及深化设计须和最终用户需求纵向一致，也包括项目所有的成果文档之间的一致。严格遵守不同层次间的一致性关系，使得各系统不会偏离最初的设计目标；</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（四）成果的可测试性、可维护性：要求供应商对湖北省健康医疗大数据中心暨公共卫生应急管理平台建设项目的可测试性、可维护性阐述具体方法。</w:t>
      </w:r>
    </w:p>
    <w:p>
      <w:pPr>
        <w:adjustRightInd w:val="0"/>
        <w:snapToGrid w:val="0"/>
        <w:spacing w:line="360" w:lineRule="auto"/>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（五）实效性：设计理念先进、建设模式科学、技术应用成熟、业务服务创新。</w:t>
      </w:r>
    </w:p>
    <w:bookmarkEnd w:id="1"/>
    <w:bookmarkEnd w:id="2"/>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w:t>
      </w:r>
      <w:r>
        <w:rPr>
          <w:rFonts w:hint="eastAsia" w:ascii="仿宋_GB2312" w:hAnsi="Times New Roman" w:eastAsia="仿宋_GB2312"/>
          <w:b/>
          <w:color w:val="000000" w:themeColor="text1"/>
          <w:sz w:val="24"/>
          <w:szCs w:val="28"/>
          <w:lang w:val="en-US" w:eastAsia="zh-CN"/>
          <w14:textFill>
            <w14:solidFill>
              <w14:schemeClr w14:val="tx1"/>
            </w14:solidFill>
          </w14:textFill>
        </w:rPr>
        <w:t>4</w:t>
      </w:r>
      <w:r>
        <w:rPr>
          <w:rFonts w:hint="eastAsia" w:ascii="仿宋_GB2312" w:hAnsi="Times New Roman" w:eastAsia="仿宋_GB2312"/>
          <w:b/>
          <w:color w:val="000000" w:themeColor="text1"/>
          <w:sz w:val="24"/>
          <w:szCs w:val="28"/>
          <w14:textFill>
            <w14:solidFill>
              <w14:schemeClr w14:val="tx1"/>
            </w14:solidFill>
          </w14:textFill>
        </w:rPr>
        <w:t>.</w:t>
      </w:r>
      <w:r>
        <w:rPr>
          <w:rFonts w:hint="eastAsia" w:ascii="仿宋_GB2312" w:hAnsi="Times New Roman" w:eastAsia="仿宋_GB2312"/>
          <w:b/>
          <w:color w:val="000000" w:themeColor="text1"/>
          <w:sz w:val="24"/>
          <w:szCs w:val="28"/>
          <w:lang w:val="en-US" w:eastAsia="zh-CN"/>
          <w14:textFill>
            <w14:solidFill>
              <w14:schemeClr w14:val="tx1"/>
            </w14:solidFill>
          </w14:textFill>
        </w:rPr>
        <w:t>6</w:t>
      </w:r>
      <w:r>
        <w:rPr>
          <w:rFonts w:hint="eastAsia" w:ascii="仿宋_GB2312" w:hAnsi="Times New Roman" w:eastAsia="仿宋_GB2312"/>
          <w:b/>
          <w:color w:val="000000" w:themeColor="text1"/>
          <w:sz w:val="24"/>
          <w:szCs w:val="28"/>
          <w14:textFill>
            <w14:solidFill>
              <w14:schemeClr w14:val="tx1"/>
            </w14:solidFill>
          </w14:textFill>
        </w:rPr>
        <w:t xml:space="preserve"> 商务要求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4"/>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w:t>
      </w:r>
      <w:r>
        <w:rPr>
          <w:rFonts w:hint="eastAsia" w:ascii="仿宋_GB2312" w:hAnsi="Times New Roman" w:eastAsia="仿宋_GB2312"/>
          <w:b/>
          <w:color w:val="000000" w:themeColor="text1"/>
          <w:sz w:val="24"/>
          <w:szCs w:val="28"/>
          <w:lang w:val="en-US" w:eastAsia="zh-CN"/>
          <w14:textFill>
            <w14:solidFill>
              <w14:schemeClr w14:val="tx1"/>
            </w14:solidFill>
          </w14:textFill>
        </w:rPr>
        <w:t>4</w:t>
      </w:r>
      <w:r>
        <w:rPr>
          <w:rFonts w:hint="eastAsia" w:ascii="仿宋_GB2312" w:hAnsi="Times New Roman" w:eastAsia="仿宋_GB2312"/>
          <w:b/>
          <w:color w:val="000000" w:themeColor="text1"/>
          <w:sz w:val="24"/>
          <w:szCs w:val="28"/>
          <w14:textFill>
            <w14:solidFill>
              <w14:schemeClr w14:val="tx1"/>
            </w14:solidFill>
          </w14:textFill>
        </w:rPr>
        <w:t>.</w:t>
      </w:r>
      <w:r>
        <w:rPr>
          <w:rFonts w:hint="eastAsia" w:ascii="仿宋_GB2312" w:hAnsi="Times New Roman" w:eastAsia="仿宋_GB2312"/>
          <w:b/>
          <w:color w:val="000000" w:themeColor="text1"/>
          <w:sz w:val="24"/>
          <w:szCs w:val="28"/>
          <w:lang w:val="en-US" w:eastAsia="zh-CN"/>
          <w14:textFill>
            <w14:solidFill>
              <w14:schemeClr w14:val="tx1"/>
            </w14:solidFill>
          </w14:textFill>
        </w:rPr>
        <w:t>6</w:t>
      </w:r>
      <w:r>
        <w:rPr>
          <w:rFonts w:hint="eastAsia" w:ascii="仿宋_GB2312" w:hAnsi="Times New Roman" w:eastAsia="仿宋_GB2312"/>
          <w:b/>
          <w:color w:val="000000" w:themeColor="text1"/>
          <w:sz w:val="24"/>
          <w:szCs w:val="28"/>
          <w14:textFill>
            <w14:solidFill>
              <w14:schemeClr w14:val="tx1"/>
            </w14:solidFill>
          </w14:textFill>
        </w:rPr>
        <w:t>.1投标要求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1)投标人应仔细阅读采购需求文件的所有内容，按要求编制投标文件，并对采购需求文件做出实质性响应，并保证所提供全部资料的真实性。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2)投标人应承担本项目的相关保密义务。未经采购人书面同意，不得将本项目相关信息透露给任何第三方。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3)投标人不得以任何方式转包或分包本项目。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4"/>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w:t>
      </w:r>
      <w:r>
        <w:rPr>
          <w:rFonts w:hint="eastAsia" w:ascii="仿宋_GB2312" w:hAnsi="Times New Roman" w:eastAsia="仿宋_GB2312"/>
          <w:b/>
          <w:color w:val="000000" w:themeColor="text1"/>
          <w:sz w:val="24"/>
          <w:szCs w:val="28"/>
          <w:lang w:val="en-US" w:eastAsia="zh-CN"/>
          <w14:textFill>
            <w14:solidFill>
              <w14:schemeClr w14:val="tx1"/>
            </w14:solidFill>
          </w14:textFill>
        </w:rPr>
        <w:t>4</w:t>
      </w:r>
      <w:r>
        <w:rPr>
          <w:rFonts w:hint="eastAsia" w:ascii="仿宋_GB2312" w:hAnsi="Times New Roman" w:eastAsia="仿宋_GB2312"/>
          <w:b/>
          <w:color w:val="000000" w:themeColor="text1"/>
          <w:sz w:val="24"/>
          <w:szCs w:val="28"/>
          <w14:textFill>
            <w14:solidFill>
              <w14:schemeClr w14:val="tx1"/>
            </w14:solidFill>
          </w14:textFill>
        </w:rPr>
        <w:t>.</w:t>
      </w:r>
      <w:r>
        <w:rPr>
          <w:rFonts w:hint="eastAsia" w:ascii="仿宋_GB2312" w:hAnsi="Times New Roman" w:eastAsia="仿宋_GB2312"/>
          <w:b/>
          <w:color w:val="000000" w:themeColor="text1"/>
          <w:sz w:val="24"/>
          <w:szCs w:val="28"/>
          <w:lang w:val="en-US" w:eastAsia="zh-CN"/>
          <w14:textFill>
            <w14:solidFill>
              <w14:schemeClr w14:val="tx1"/>
            </w14:solidFill>
          </w14:textFill>
        </w:rPr>
        <w:t>6</w:t>
      </w:r>
      <w:r>
        <w:rPr>
          <w:rFonts w:hint="eastAsia" w:ascii="仿宋_GB2312" w:hAnsi="Times New Roman" w:eastAsia="仿宋_GB2312"/>
          <w:b/>
          <w:color w:val="000000" w:themeColor="text1"/>
          <w:sz w:val="24"/>
          <w:szCs w:val="28"/>
          <w14:textFill>
            <w14:solidFill>
              <w14:schemeClr w14:val="tx1"/>
            </w14:solidFill>
          </w14:textFill>
        </w:rPr>
        <w:t>.2报价要求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投标总报价须为人民币报价，且应是交钥匙工程（包含：相关手续费</w:t>
      </w:r>
      <w:r>
        <w:rPr>
          <w:rFonts w:hint="eastAsia" w:ascii="仿宋_GB2312" w:hAnsi="Times New Roman" w:eastAsia="仿宋_GB2312"/>
          <w:color w:val="000000" w:themeColor="text1"/>
          <w:sz w:val="24"/>
          <w:szCs w:val="28"/>
          <w:lang w:eastAsia="zh-CN"/>
          <w14:textFill>
            <w14:solidFill>
              <w14:schemeClr w14:val="tx1"/>
            </w14:solidFill>
          </w14:textFill>
        </w:rPr>
        <w:t>、</w:t>
      </w:r>
      <w:r>
        <w:rPr>
          <w:rFonts w:hint="eastAsia" w:ascii="仿宋_GB2312" w:hAnsi="Times New Roman" w:eastAsia="仿宋_GB2312"/>
          <w:color w:val="000000" w:themeColor="text1"/>
          <w:sz w:val="24"/>
          <w:szCs w:val="28"/>
          <w:lang w:val="en-US" w:eastAsia="zh-CN"/>
          <w14:textFill>
            <w14:solidFill>
              <w14:schemeClr w14:val="tx1"/>
            </w14:solidFill>
          </w14:textFill>
        </w:rPr>
        <w:t>软件使用及版权费用</w:t>
      </w:r>
      <w:r>
        <w:rPr>
          <w:rFonts w:hint="eastAsia" w:ascii="仿宋_GB2312" w:hAnsi="Times New Roman" w:eastAsia="仿宋_GB2312"/>
          <w:color w:val="000000" w:themeColor="text1"/>
          <w:sz w:val="24"/>
          <w:szCs w:val="28"/>
          <w14:textFill>
            <w14:solidFill>
              <w14:schemeClr w14:val="tx1"/>
            </w14:solidFill>
          </w14:textFill>
        </w:rPr>
        <w:t>、人工费、通讯费、运输费、培训费、交通费、调研费、文献查阅、资料装订印刷费等完成本项目的所有相关费用）。因投标人自身原因造成漏报、少报的，或在合同实施过程中可能发生的其它费用（如：工期延迟、材料涨价、人工及交通成本增加等因素），应由其自行承担责任，采购人不再补偿。</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4"/>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w:t>
      </w:r>
      <w:r>
        <w:rPr>
          <w:rFonts w:hint="eastAsia" w:ascii="仿宋_GB2312" w:hAnsi="Times New Roman" w:eastAsia="仿宋_GB2312"/>
          <w:b/>
          <w:color w:val="000000" w:themeColor="text1"/>
          <w:sz w:val="24"/>
          <w:szCs w:val="28"/>
          <w:lang w:val="en-US" w:eastAsia="zh-CN"/>
          <w14:textFill>
            <w14:solidFill>
              <w14:schemeClr w14:val="tx1"/>
            </w14:solidFill>
          </w14:textFill>
        </w:rPr>
        <w:t>4</w:t>
      </w:r>
      <w:r>
        <w:rPr>
          <w:rFonts w:hint="eastAsia" w:ascii="仿宋_GB2312" w:hAnsi="Times New Roman" w:eastAsia="仿宋_GB2312"/>
          <w:b/>
          <w:color w:val="000000" w:themeColor="text1"/>
          <w:sz w:val="24"/>
          <w:szCs w:val="28"/>
          <w14:textFill>
            <w14:solidFill>
              <w14:schemeClr w14:val="tx1"/>
            </w14:solidFill>
          </w14:textFill>
        </w:rPr>
        <w:t>.</w:t>
      </w:r>
      <w:r>
        <w:rPr>
          <w:rFonts w:hint="eastAsia" w:ascii="仿宋_GB2312" w:hAnsi="Times New Roman" w:eastAsia="仿宋_GB2312"/>
          <w:b/>
          <w:color w:val="000000" w:themeColor="text1"/>
          <w:sz w:val="24"/>
          <w:szCs w:val="28"/>
          <w:lang w:val="en-US" w:eastAsia="zh-CN"/>
          <w14:textFill>
            <w14:solidFill>
              <w14:schemeClr w14:val="tx1"/>
            </w14:solidFill>
          </w14:textFill>
        </w:rPr>
        <w:t>6</w:t>
      </w:r>
      <w:r>
        <w:rPr>
          <w:rFonts w:hint="eastAsia" w:ascii="仿宋_GB2312" w:hAnsi="Times New Roman" w:eastAsia="仿宋_GB2312"/>
          <w:b/>
          <w:color w:val="000000" w:themeColor="text1"/>
          <w:sz w:val="24"/>
          <w:szCs w:val="28"/>
          <w14:textFill>
            <w14:solidFill>
              <w14:schemeClr w14:val="tx1"/>
            </w14:solidFill>
          </w14:textFill>
        </w:rPr>
        <w:t>.3知识产权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1)投标人必须保证采购人在接受其所提供服务期的任何时候不受到知识产权或版权的纠纷，否则由此产生的任何责任完全由投标人承担。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2)采购人拥有针对本项目形成的所有文档全部知识产权。未经采购人许可，投标人不得擅自使用全部或部分内容。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4"/>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w:t>
      </w:r>
      <w:r>
        <w:rPr>
          <w:rFonts w:hint="eastAsia" w:ascii="仿宋_GB2312" w:hAnsi="Times New Roman" w:eastAsia="仿宋_GB2312"/>
          <w:b/>
          <w:color w:val="000000" w:themeColor="text1"/>
          <w:sz w:val="24"/>
          <w:szCs w:val="28"/>
          <w:lang w:val="en-US" w:eastAsia="zh-CN"/>
          <w14:textFill>
            <w14:solidFill>
              <w14:schemeClr w14:val="tx1"/>
            </w14:solidFill>
          </w14:textFill>
        </w:rPr>
        <w:t>4</w:t>
      </w:r>
      <w:r>
        <w:rPr>
          <w:rFonts w:hint="eastAsia" w:ascii="仿宋_GB2312" w:hAnsi="Times New Roman" w:eastAsia="仿宋_GB2312"/>
          <w:b/>
          <w:color w:val="000000" w:themeColor="text1"/>
          <w:sz w:val="24"/>
          <w:szCs w:val="28"/>
          <w14:textFill>
            <w14:solidFill>
              <w14:schemeClr w14:val="tx1"/>
            </w14:solidFill>
          </w14:textFill>
        </w:rPr>
        <w:t>.</w:t>
      </w:r>
      <w:r>
        <w:rPr>
          <w:rFonts w:hint="eastAsia" w:ascii="仿宋_GB2312" w:hAnsi="Times New Roman" w:eastAsia="仿宋_GB2312"/>
          <w:b/>
          <w:color w:val="000000" w:themeColor="text1"/>
          <w:sz w:val="24"/>
          <w:szCs w:val="28"/>
          <w:lang w:val="en-US" w:eastAsia="zh-CN"/>
          <w14:textFill>
            <w14:solidFill>
              <w14:schemeClr w14:val="tx1"/>
            </w14:solidFill>
          </w14:textFill>
        </w:rPr>
        <w:t>6</w:t>
      </w:r>
      <w:r>
        <w:rPr>
          <w:rFonts w:hint="eastAsia" w:ascii="仿宋_GB2312" w:hAnsi="Times New Roman" w:eastAsia="仿宋_GB2312"/>
          <w:b/>
          <w:color w:val="000000" w:themeColor="text1"/>
          <w:sz w:val="24"/>
          <w:szCs w:val="28"/>
          <w14:textFill>
            <w14:solidFill>
              <w14:schemeClr w14:val="tx1"/>
            </w14:solidFill>
          </w14:textFill>
        </w:rPr>
        <w:t>.4合同签订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投标人中标后，持相关证明与采购人签订合同。本项目招标文件、投标人投标文件均作为合同签订的基础。</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4"/>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w:t>
      </w:r>
      <w:r>
        <w:rPr>
          <w:rFonts w:hint="eastAsia" w:ascii="仿宋_GB2312" w:hAnsi="Times New Roman" w:eastAsia="仿宋_GB2312"/>
          <w:b/>
          <w:color w:val="000000" w:themeColor="text1"/>
          <w:sz w:val="24"/>
          <w:szCs w:val="28"/>
          <w:lang w:val="en-US" w:eastAsia="zh-CN"/>
          <w14:textFill>
            <w14:solidFill>
              <w14:schemeClr w14:val="tx1"/>
            </w14:solidFill>
          </w14:textFill>
        </w:rPr>
        <w:t>4</w:t>
      </w:r>
      <w:r>
        <w:rPr>
          <w:rFonts w:hint="eastAsia" w:ascii="仿宋_GB2312" w:hAnsi="Times New Roman" w:eastAsia="仿宋_GB2312"/>
          <w:b/>
          <w:color w:val="000000" w:themeColor="text1"/>
          <w:sz w:val="24"/>
          <w:szCs w:val="28"/>
          <w14:textFill>
            <w14:solidFill>
              <w14:schemeClr w14:val="tx1"/>
            </w14:solidFill>
          </w14:textFill>
        </w:rPr>
        <w:t>.</w:t>
      </w:r>
      <w:r>
        <w:rPr>
          <w:rFonts w:hint="eastAsia" w:ascii="仿宋_GB2312" w:hAnsi="Times New Roman" w:eastAsia="仿宋_GB2312"/>
          <w:b/>
          <w:color w:val="000000" w:themeColor="text1"/>
          <w:sz w:val="24"/>
          <w:szCs w:val="28"/>
          <w:lang w:val="en-US" w:eastAsia="zh-CN"/>
          <w14:textFill>
            <w14:solidFill>
              <w14:schemeClr w14:val="tx1"/>
            </w14:solidFill>
          </w14:textFill>
        </w:rPr>
        <w:t>6</w:t>
      </w:r>
      <w:r>
        <w:rPr>
          <w:rFonts w:hint="eastAsia" w:ascii="仿宋_GB2312" w:hAnsi="Times New Roman" w:eastAsia="仿宋_GB2312"/>
          <w:b/>
          <w:color w:val="000000" w:themeColor="text1"/>
          <w:sz w:val="24"/>
          <w:szCs w:val="28"/>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按合同约定执行。</w:t>
      </w:r>
    </w:p>
    <w:p>
      <w:pPr>
        <w:adjustRightInd w:val="0"/>
        <w:snapToGrid w:val="0"/>
        <w:spacing w:line="360" w:lineRule="auto"/>
        <w:ind w:firstLine="560" w:firstLineChars="200"/>
        <w:rPr>
          <w:rFonts w:ascii="仿宋_GB2312" w:hAnsi="Times New Roman" w:eastAsia="仿宋_GB2312"/>
          <w:color w:val="000000" w:themeColor="text1"/>
          <w:sz w:val="28"/>
          <w:szCs w:val="28"/>
          <w14:textFill>
            <w14:solidFill>
              <w14:schemeClr w14:val="tx1"/>
            </w14:solidFill>
          </w14:textFill>
        </w:rPr>
      </w:pPr>
    </w:p>
    <w:sectPr>
      <w:footerReference r:id="rId3" w:type="default"/>
      <w:pgSz w:w="11906" w:h="16838"/>
      <w:pgMar w:top="1134" w:right="1191" w:bottom="1134" w:left="1191" w:header="851" w:footer="85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369190"/>
      <w:docPartObj>
        <w:docPartGallery w:val="autotext"/>
      </w:docPartObj>
    </w:sdtPr>
    <w:sdtContent>
      <w:p>
        <w:pPr>
          <w:pStyle w:val="13"/>
          <w:ind w:firstLine="48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139E9"/>
    <w:multiLevelType w:val="multilevel"/>
    <w:tmpl w:val="47F139E9"/>
    <w:lvl w:ilvl="0" w:tentative="0">
      <w:start w:val="1"/>
      <w:numFmt w:val="decimal"/>
      <w:pStyle w:val="28"/>
      <w:lvlText w:val="第%1章"/>
      <w:lvlJc w:val="left"/>
      <w:pPr>
        <w:tabs>
          <w:tab w:val="left" w:pos="0"/>
        </w:tabs>
        <w:ind w:left="420" w:hanging="420"/>
      </w:pPr>
      <w:rPr>
        <w:lang w:val="en-US"/>
      </w:rPr>
    </w:lvl>
    <w:lvl w:ilvl="1" w:tentative="0">
      <w:start w:val="1"/>
      <w:numFmt w:val="decimal"/>
      <w:pStyle w:val="27"/>
      <w:lvlText w:val="%1.%2"/>
      <w:lvlJc w:val="left"/>
      <w:pPr>
        <w:tabs>
          <w:tab w:val="left" w:pos="862"/>
        </w:tabs>
        <w:ind w:left="709" w:hanging="567"/>
      </w:pPr>
    </w:lvl>
    <w:lvl w:ilvl="2" w:tentative="0">
      <w:start w:val="1"/>
      <w:numFmt w:val="decimal"/>
      <w:pStyle w:val="30"/>
      <w:lvlText w:val="%1.%2.%3"/>
      <w:lvlJc w:val="left"/>
      <w:pPr>
        <w:tabs>
          <w:tab w:val="left" w:pos="1710"/>
        </w:tabs>
        <w:ind w:left="1197" w:hanging="567"/>
      </w:pPr>
    </w:lvl>
    <w:lvl w:ilvl="3" w:tentative="0">
      <w:start w:val="1"/>
      <w:numFmt w:val="decimal"/>
      <w:pStyle w:val="29"/>
      <w:lvlText w:val="2.%4"/>
      <w:lvlJc w:val="left"/>
      <w:pPr>
        <w:tabs>
          <w:tab w:val="left" w:pos="2433"/>
        </w:tabs>
        <w:ind w:left="1701"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A1"/>
    <w:rsid w:val="0000589C"/>
    <w:rsid w:val="00011529"/>
    <w:rsid w:val="00020578"/>
    <w:rsid w:val="0002126A"/>
    <w:rsid w:val="000227D8"/>
    <w:rsid w:val="00032D71"/>
    <w:rsid w:val="00033400"/>
    <w:rsid w:val="0003655A"/>
    <w:rsid w:val="00041CC3"/>
    <w:rsid w:val="0004410A"/>
    <w:rsid w:val="000528F8"/>
    <w:rsid w:val="0005699D"/>
    <w:rsid w:val="00077EA2"/>
    <w:rsid w:val="00083F9E"/>
    <w:rsid w:val="00087C03"/>
    <w:rsid w:val="0009089D"/>
    <w:rsid w:val="000922E7"/>
    <w:rsid w:val="00094645"/>
    <w:rsid w:val="000A571C"/>
    <w:rsid w:val="000A73A3"/>
    <w:rsid w:val="000B51CE"/>
    <w:rsid w:val="000B5D11"/>
    <w:rsid w:val="000B7641"/>
    <w:rsid w:val="000C05CF"/>
    <w:rsid w:val="000C079F"/>
    <w:rsid w:val="000C7196"/>
    <w:rsid w:val="000D3580"/>
    <w:rsid w:val="000D3BEC"/>
    <w:rsid w:val="000E678A"/>
    <w:rsid w:val="000F51F9"/>
    <w:rsid w:val="000F6F43"/>
    <w:rsid w:val="001045C6"/>
    <w:rsid w:val="00105DB0"/>
    <w:rsid w:val="00107CC8"/>
    <w:rsid w:val="00113C03"/>
    <w:rsid w:val="0012540D"/>
    <w:rsid w:val="001306D1"/>
    <w:rsid w:val="00133569"/>
    <w:rsid w:val="0013373D"/>
    <w:rsid w:val="0013474D"/>
    <w:rsid w:val="00145EBF"/>
    <w:rsid w:val="00153736"/>
    <w:rsid w:val="00157BF7"/>
    <w:rsid w:val="00160F9F"/>
    <w:rsid w:val="00161631"/>
    <w:rsid w:val="001675F2"/>
    <w:rsid w:val="00177540"/>
    <w:rsid w:val="00180639"/>
    <w:rsid w:val="001837B9"/>
    <w:rsid w:val="001A537A"/>
    <w:rsid w:val="001A5B66"/>
    <w:rsid w:val="001B1A32"/>
    <w:rsid w:val="001C385B"/>
    <w:rsid w:val="001C56A3"/>
    <w:rsid w:val="001C6A26"/>
    <w:rsid w:val="001C7480"/>
    <w:rsid w:val="001D2E98"/>
    <w:rsid w:val="001D4612"/>
    <w:rsid w:val="001D7A67"/>
    <w:rsid w:val="001F4187"/>
    <w:rsid w:val="001F6C8C"/>
    <w:rsid w:val="0020225E"/>
    <w:rsid w:val="002048F0"/>
    <w:rsid w:val="002065E3"/>
    <w:rsid w:val="002108C9"/>
    <w:rsid w:val="00211F69"/>
    <w:rsid w:val="002176BC"/>
    <w:rsid w:val="00221D21"/>
    <w:rsid w:val="00231D59"/>
    <w:rsid w:val="00231F6A"/>
    <w:rsid w:val="0023219D"/>
    <w:rsid w:val="002352A4"/>
    <w:rsid w:val="00236170"/>
    <w:rsid w:val="00240A5D"/>
    <w:rsid w:val="00264692"/>
    <w:rsid w:val="00272C56"/>
    <w:rsid w:val="0027336B"/>
    <w:rsid w:val="00274E36"/>
    <w:rsid w:val="002761F0"/>
    <w:rsid w:val="00282D8C"/>
    <w:rsid w:val="0028470D"/>
    <w:rsid w:val="0028479D"/>
    <w:rsid w:val="00284929"/>
    <w:rsid w:val="002879E0"/>
    <w:rsid w:val="00290226"/>
    <w:rsid w:val="0029393D"/>
    <w:rsid w:val="002A0C28"/>
    <w:rsid w:val="002A7775"/>
    <w:rsid w:val="002B1003"/>
    <w:rsid w:val="002B14C4"/>
    <w:rsid w:val="002B1D88"/>
    <w:rsid w:val="002B4D33"/>
    <w:rsid w:val="002C642A"/>
    <w:rsid w:val="002D0C8A"/>
    <w:rsid w:val="002D68F0"/>
    <w:rsid w:val="002D7D4D"/>
    <w:rsid w:val="002F0365"/>
    <w:rsid w:val="002F3334"/>
    <w:rsid w:val="002F3352"/>
    <w:rsid w:val="00300E0C"/>
    <w:rsid w:val="00302F1D"/>
    <w:rsid w:val="0030455A"/>
    <w:rsid w:val="00307EBA"/>
    <w:rsid w:val="00317447"/>
    <w:rsid w:val="003238BA"/>
    <w:rsid w:val="00333689"/>
    <w:rsid w:val="00336368"/>
    <w:rsid w:val="003446C6"/>
    <w:rsid w:val="00347773"/>
    <w:rsid w:val="00350BD7"/>
    <w:rsid w:val="003647EE"/>
    <w:rsid w:val="00364E17"/>
    <w:rsid w:val="0036568E"/>
    <w:rsid w:val="00365754"/>
    <w:rsid w:val="003708AD"/>
    <w:rsid w:val="00370994"/>
    <w:rsid w:val="00372826"/>
    <w:rsid w:val="003729C8"/>
    <w:rsid w:val="003740C7"/>
    <w:rsid w:val="00375B5B"/>
    <w:rsid w:val="003767DF"/>
    <w:rsid w:val="00397981"/>
    <w:rsid w:val="003A4317"/>
    <w:rsid w:val="003B1A2D"/>
    <w:rsid w:val="003B43DD"/>
    <w:rsid w:val="003B501D"/>
    <w:rsid w:val="003B6C80"/>
    <w:rsid w:val="003C252A"/>
    <w:rsid w:val="003D534D"/>
    <w:rsid w:val="003D6C6E"/>
    <w:rsid w:val="003D7A88"/>
    <w:rsid w:val="003E0EFA"/>
    <w:rsid w:val="003E6A53"/>
    <w:rsid w:val="003E75FE"/>
    <w:rsid w:val="003F3291"/>
    <w:rsid w:val="003F7247"/>
    <w:rsid w:val="00404216"/>
    <w:rsid w:val="00411249"/>
    <w:rsid w:val="0041186F"/>
    <w:rsid w:val="00411876"/>
    <w:rsid w:val="004122D1"/>
    <w:rsid w:val="0041698E"/>
    <w:rsid w:val="00421956"/>
    <w:rsid w:val="00421EBA"/>
    <w:rsid w:val="004353F1"/>
    <w:rsid w:val="00442476"/>
    <w:rsid w:val="00442C36"/>
    <w:rsid w:val="00454EC3"/>
    <w:rsid w:val="00456105"/>
    <w:rsid w:val="004650ED"/>
    <w:rsid w:val="004669B2"/>
    <w:rsid w:val="004769E4"/>
    <w:rsid w:val="0048230E"/>
    <w:rsid w:val="0048300D"/>
    <w:rsid w:val="00487A57"/>
    <w:rsid w:val="00492B35"/>
    <w:rsid w:val="004B61DD"/>
    <w:rsid w:val="004C257F"/>
    <w:rsid w:val="004F6ADA"/>
    <w:rsid w:val="004F7922"/>
    <w:rsid w:val="00502002"/>
    <w:rsid w:val="00505EE2"/>
    <w:rsid w:val="00527DD8"/>
    <w:rsid w:val="0053305C"/>
    <w:rsid w:val="00534FB0"/>
    <w:rsid w:val="00537A2C"/>
    <w:rsid w:val="00550F94"/>
    <w:rsid w:val="00554BEB"/>
    <w:rsid w:val="005576BE"/>
    <w:rsid w:val="00560610"/>
    <w:rsid w:val="005610BB"/>
    <w:rsid w:val="00565E5A"/>
    <w:rsid w:val="00567650"/>
    <w:rsid w:val="00567E02"/>
    <w:rsid w:val="005708FD"/>
    <w:rsid w:val="00570E38"/>
    <w:rsid w:val="00572250"/>
    <w:rsid w:val="00574C27"/>
    <w:rsid w:val="00575333"/>
    <w:rsid w:val="00581146"/>
    <w:rsid w:val="00585330"/>
    <w:rsid w:val="005853D0"/>
    <w:rsid w:val="005911AC"/>
    <w:rsid w:val="005950C0"/>
    <w:rsid w:val="005A3330"/>
    <w:rsid w:val="005A5066"/>
    <w:rsid w:val="005B1FAC"/>
    <w:rsid w:val="005B3C10"/>
    <w:rsid w:val="005C3A69"/>
    <w:rsid w:val="005C3D3E"/>
    <w:rsid w:val="005E1680"/>
    <w:rsid w:val="005E4361"/>
    <w:rsid w:val="005E5763"/>
    <w:rsid w:val="005F0708"/>
    <w:rsid w:val="005F7472"/>
    <w:rsid w:val="006003A3"/>
    <w:rsid w:val="00600DC0"/>
    <w:rsid w:val="00601A9B"/>
    <w:rsid w:val="00606985"/>
    <w:rsid w:val="00612F3C"/>
    <w:rsid w:val="00615895"/>
    <w:rsid w:val="006241F0"/>
    <w:rsid w:val="006328B1"/>
    <w:rsid w:val="00632B4A"/>
    <w:rsid w:val="00640E7B"/>
    <w:rsid w:val="00642221"/>
    <w:rsid w:val="006515CC"/>
    <w:rsid w:val="006531C8"/>
    <w:rsid w:val="006609CA"/>
    <w:rsid w:val="00667B98"/>
    <w:rsid w:val="00671B02"/>
    <w:rsid w:val="0067293A"/>
    <w:rsid w:val="0067322E"/>
    <w:rsid w:val="00676E8A"/>
    <w:rsid w:val="00683254"/>
    <w:rsid w:val="00687083"/>
    <w:rsid w:val="00691783"/>
    <w:rsid w:val="0069438B"/>
    <w:rsid w:val="006A1F0D"/>
    <w:rsid w:val="006A37D4"/>
    <w:rsid w:val="006A66A1"/>
    <w:rsid w:val="006B2860"/>
    <w:rsid w:val="006D513C"/>
    <w:rsid w:val="006D6024"/>
    <w:rsid w:val="006E2697"/>
    <w:rsid w:val="006E4B09"/>
    <w:rsid w:val="006E7779"/>
    <w:rsid w:val="006F691C"/>
    <w:rsid w:val="007010F8"/>
    <w:rsid w:val="00703B0F"/>
    <w:rsid w:val="00712163"/>
    <w:rsid w:val="00730D7E"/>
    <w:rsid w:val="0073164F"/>
    <w:rsid w:val="007370A1"/>
    <w:rsid w:val="00745654"/>
    <w:rsid w:val="007512B4"/>
    <w:rsid w:val="00757ABC"/>
    <w:rsid w:val="0076197F"/>
    <w:rsid w:val="00763CED"/>
    <w:rsid w:val="00774A8F"/>
    <w:rsid w:val="00783B20"/>
    <w:rsid w:val="00787F45"/>
    <w:rsid w:val="007902DA"/>
    <w:rsid w:val="007936EE"/>
    <w:rsid w:val="007A45A0"/>
    <w:rsid w:val="007A6B35"/>
    <w:rsid w:val="007B16D3"/>
    <w:rsid w:val="007B1D32"/>
    <w:rsid w:val="007C14DA"/>
    <w:rsid w:val="007C38BA"/>
    <w:rsid w:val="007C622A"/>
    <w:rsid w:val="007D2AFB"/>
    <w:rsid w:val="007D3139"/>
    <w:rsid w:val="007D4D17"/>
    <w:rsid w:val="007D757F"/>
    <w:rsid w:val="007E479C"/>
    <w:rsid w:val="007E5CEB"/>
    <w:rsid w:val="007F0C11"/>
    <w:rsid w:val="007F7A43"/>
    <w:rsid w:val="00802918"/>
    <w:rsid w:val="00802C37"/>
    <w:rsid w:val="008035C2"/>
    <w:rsid w:val="00831AEA"/>
    <w:rsid w:val="008407B4"/>
    <w:rsid w:val="008414CA"/>
    <w:rsid w:val="008446B9"/>
    <w:rsid w:val="0084590E"/>
    <w:rsid w:val="0085298E"/>
    <w:rsid w:val="0085323B"/>
    <w:rsid w:val="0085661B"/>
    <w:rsid w:val="00870DE3"/>
    <w:rsid w:val="00872936"/>
    <w:rsid w:val="0087661A"/>
    <w:rsid w:val="00882C66"/>
    <w:rsid w:val="008904E6"/>
    <w:rsid w:val="008A3F3D"/>
    <w:rsid w:val="008A4EBA"/>
    <w:rsid w:val="008B2BA2"/>
    <w:rsid w:val="008B68D7"/>
    <w:rsid w:val="008C54F3"/>
    <w:rsid w:val="008E14AF"/>
    <w:rsid w:val="008E7BCB"/>
    <w:rsid w:val="008F27BD"/>
    <w:rsid w:val="008F3AEE"/>
    <w:rsid w:val="008F5688"/>
    <w:rsid w:val="009013A2"/>
    <w:rsid w:val="009061D1"/>
    <w:rsid w:val="00910347"/>
    <w:rsid w:val="00916A13"/>
    <w:rsid w:val="00923EEC"/>
    <w:rsid w:val="00930C56"/>
    <w:rsid w:val="0093503F"/>
    <w:rsid w:val="00936216"/>
    <w:rsid w:val="0094475F"/>
    <w:rsid w:val="009504E6"/>
    <w:rsid w:val="00950693"/>
    <w:rsid w:val="00953E3A"/>
    <w:rsid w:val="0095413B"/>
    <w:rsid w:val="0095556E"/>
    <w:rsid w:val="0096150E"/>
    <w:rsid w:val="00962DFD"/>
    <w:rsid w:val="00971ADA"/>
    <w:rsid w:val="00974366"/>
    <w:rsid w:val="00977CC2"/>
    <w:rsid w:val="00981469"/>
    <w:rsid w:val="00982FB4"/>
    <w:rsid w:val="00985ABC"/>
    <w:rsid w:val="0099128A"/>
    <w:rsid w:val="00992F55"/>
    <w:rsid w:val="00993F30"/>
    <w:rsid w:val="009A022E"/>
    <w:rsid w:val="009A0F5D"/>
    <w:rsid w:val="009A4613"/>
    <w:rsid w:val="009B2E64"/>
    <w:rsid w:val="009B3A9A"/>
    <w:rsid w:val="009C0CB8"/>
    <w:rsid w:val="009C35D6"/>
    <w:rsid w:val="009C6081"/>
    <w:rsid w:val="009D797D"/>
    <w:rsid w:val="009D7DD9"/>
    <w:rsid w:val="009E426C"/>
    <w:rsid w:val="009E5419"/>
    <w:rsid w:val="009E58F8"/>
    <w:rsid w:val="009F1388"/>
    <w:rsid w:val="009F34C5"/>
    <w:rsid w:val="009F3595"/>
    <w:rsid w:val="009F38E8"/>
    <w:rsid w:val="009F4D0B"/>
    <w:rsid w:val="009F54F6"/>
    <w:rsid w:val="009F7A66"/>
    <w:rsid w:val="00A046E1"/>
    <w:rsid w:val="00A05DB3"/>
    <w:rsid w:val="00A256A0"/>
    <w:rsid w:val="00A43625"/>
    <w:rsid w:val="00A50311"/>
    <w:rsid w:val="00A72B83"/>
    <w:rsid w:val="00A73A47"/>
    <w:rsid w:val="00A83812"/>
    <w:rsid w:val="00A92130"/>
    <w:rsid w:val="00A9344E"/>
    <w:rsid w:val="00A93F08"/>
    <w:rsid w:val="00AA12F9"/>
    <w:rsid w:val="00AA57B0"/>
    <w:rsid w:val="00AB7E70"/>
    <w:rsid w:val="00AD0E95"/>
    <w:rsid w:val="00AE22A6"/>
    <w:rsid w:val="00AE2426"/>
    <w:rsid w:val="00AE5B15"/>
    <w:rsid w:val="00AF5F03"/>
    <w:rsid w:val="00B1081D"/>
    <w:rsid w:val="00B230E7"/>
    <w:rsid w:val="00B3697A"/>
    <w:rsid w:val="00B4194D"/>
    <w:rsid w:val="00B44C47"/>
    <w:rsid w:val="00B4795F"/>
    <w:rsid w:val="00B52D58"/>
    <w:rsid w:val="00B54A3D"/>
    <w:rsid w:val="00B564CC"/>
    <w:rsid w:val="00B572E3"/>
    <w:rsid w:val="00B65C13"/>
    <w:rsid w:val="00B70988"/>
    <w:rsid w:val="00B75EFF"/>
    <w:rsid w:val="00B90097"/>
    <w:rsid w:val="00BA290B"/>
    <w:rsid w:val="00BA701C"/>
    <w:rsid w:val="00BB3E60"/>
    <w:rsid w:val="00BB4656"/>
    <w:rsid w:val="00BC74A4"/>
    <w:rsid w:val="00BE230D"/>
    <w:rsid w:val="00BE76E5"/>
    <w:rsid w:val="00BF0DEA"/>
    <w:rsid w:val="00BF57EB"/>
    <w:rsid w:val="00C01D7A"/>
    <w:rsid w:val="00C02162"/>
    <w:rsid w:val="00C04B34"/>
    <w:rsid w:val="00C05A39"/>
    <w:rsid w:val="00C14603"/>
    <w:rsid w:val="00C22D6E"/>
    <w:rsid w:val="00C34F6E"/>
    <w:rsid w:val="00C362A3"/>
    <w:rsid w:val="00C37063"/>
    <w:rsid w:val="00C37295"/>
    <w:rsid w:val="00C449D4"/>
    <w:rsid w:val="00C45B44"/>
    <w:rsid w:val="00C463C0"/>
    <w:rsid w:val="00C46C15"/>
    <w:rsid w:val="00C52D71"/>
    <w:rsid w:val="00C60D8F"/>
    <w:rsid w:val="00C71617"/>
    <w:rsid w:val="00C73C72"/>
    <w:rsid w:val="00C809BF"/>
    <w:rsid w:val="00C84AEB"/>
    <w:rsid w:val="00C84C51"/>
    <w:rsid w:val="00C93BB0"/>
    <w:rsid w:val="00CA044B"/>
    <w:rsid w:val="00CB7E4D"/>
    <w:rsid w:val="00CC5B81"/>
    <w:rsid w:val="00CC7F1B"/>
    <w:rsid w:val="00CD313F"/>
    <w:rsid w:val="00CE43C9"/>
    <w:rsid w:val="00CF3F1D"/>
    <w:rsid w:val="00CF4E27"/>
    <w:rsid w:val="00D000B0"/>
    <w:rsid w:val="00D00CC4"/>
    <w:rsid w:val="00D01039"/>
    <w:rsid w:val="00D10D18"/>
    <w:rsid w:val="00D168FC"/>
    <w:rsid w:val="00D16CEF"/>
    <w:rsid w:val="00D25435"/>
    <w:rsid w:val="00D2561D"/>
    <w:rsid w:val="00D346F8"/>
    <w:rsid w:val="00D42F5A"/>
    <w:rsid w:val="00D44129"/>
    <w:rsid w:val="00D447D7"/>
    <w:rsid w:val="00D469EC"/>
    <w:rsid w:val="00D668AE"/>
    <w:rsid w:val="00D66990"/>
    <w:rsid w:val="00D73523"/>
    <w:rsid w:val="00D7721C"/>
    <w:rsid w:val="00D81E03"/>
    <w:rsid w:val="00D94ED3"/>
    <w:rsid w:val="00D9535D"/>
    <w:rsid w:val="00DA79DE"/>
    <w:rsid w:val="00DB4B4B"/>
    <w:rsid w:val="00DC0367"/>
    <w:rsid w:val="00DC5F04"/>
    <w:rsid w:val="00DF035E"/>
    <w:rsid w:val="00DF2BD2"/>
    <w:rsid w:val="00E10FF0"/>
    <w:rsid w:val="00E1333E"/>
    <w:rsid w:val="00E13D6E"/>
    <w:rsid w:val="00E25808"/>
    <w:rsid w:val="00E2767F"/>
    <w:rsid w:val="00E27F55"/>
    <w:rsid w:val="00E3097C"/>
    <w:rsid w:val="00E336F5"/>
    <w:rsid w:val="00E50EDF"/>
    <w:rsid w:val="00E52E03"/>
    <w:rsid w:val="00E55880"/>
    <w:rsid w:val="00E6080D"/>
    <w:rsid w:val="00E64880"/>
    <w:rsid w:val="00E6773B"/>
    <w:rsid w:val="00E73DC7"/>
    <w:rsid w:val="00E74066"/>
    <w:rsid w:val="00E764D0"/>
    <w:rsid w:val="00E77B2F"/>
    <w:rsid w:val="00E8741A"/>
    <w:rsid w:val="00E91066"/>
    <w:rsid w:val="00E9135B"/>
    <w:rsid w:val="00EA081B"/>
    <w:rsid w:val="00EB15F4"/>
    <w:rsid w:val="00EB31F7"/>
    <w:rsid w:val="00EB31FD"/>
    <w:rsid w:val="00EC05EC"/>
    <w:rsid w:val="00ED6BF3"/>
    <w:rsid w:val="00F052DB"/>
    <w:rsid w:val="00F135BA"/>
    <w:rsid w:val="00F14D70"/>
    <w:rsid w:val="00F171B7"/>
    <w:rsid w:val="00F179AE"/>
    <w:rsid w:val="00F2052D"/>
    <w:rsid w:val="00F2101F"/>
    <w:rsid w:val="00F30A9E"/>
    <w:rsid w:val="00F36B0A"/>
    <w:rsid w:val="00F37C6C"/>
    <w:rsid w:val="00F37F30"/>
    <w:rsid w:val="00F41DE7"/>
    <w:rsid w:val="00F42D26"/>
    <w:rsid w:val="00F43466"/>
    <w:rsid w:val="00F46A52"/>
    <w:rsid w:val="00F51700"/>
    <w:rsid w:val="00F5590F"/>
    <w:rsid w:val="00F65C76"/>
    <w:rsid w:val="00F66BBD"/>
    <w:rsid w:val="00F75150"/>
    <w:rsid w:val="00F75B88"/>
    <w:rsid w:val="00F814D2"/>
    <w:rsid w:val="00F81721"/>
    <w:rsid w:val="00F823C6"/>
    <w:rsid w:val="00F87E9F"/>
    <w:rsid w:val="00F90F17"/>
    <w:rsid w:val="00F91AFF"/>
    <w:rsid w:val="00F9476B"/>
    <w:rsid w:val="00F958C6"/>
    <w:rsid w:val="00F97E38"/>
    <w:rsid w:val="00FB3CCA"/>
    <w:rsid w:val="00FB7037"/>
    <w:rsid w:val="00FC0056"/>
    <w:rsid w:val="00FC07C7"/>
    <w:rsid w:val="00FD3137"/>
    <w:rsid w:val="00FD6210"/>
    <w:rsid w:val="00FD763E"/>
    <w:rsid w:val="00FD7FB2"/>
    <w:rsid w:val="00FF00C0"/>
    <w:rsid w:val="00FF2BAF"/>
    <w:rsid w:val="01EC206D"/>
    <w:rsid w:val="113D798C"/>
    <w:rsid w:val="1A6021A7"/>
    <w:rsid w:val="20DB5DC7"/>
    <w:rsid w:val="370F3CDD"/>
    <w:rsid w:val="38B36769"/>
    <w:rsid w:val="4EE6144E"/>
    <w:rsid w:val="588261A9"/>
    <w:rsid w:val="5C0D0C38"/>
    <w:rsid w:val="5D920FF1"/>
    <w:rsid w:val="68543EA1"/>
    <w:rsid w:val="78CC50DA"/>
    <w:rsid w:val="7D09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2"/>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0"/>
    <w:qFormat/>
    <w:uiPriority w:val="0"/>
    <w:pPr>
      <w:ind w:firstLine="420"/>
    </w:pPr>
    <w:rPr>
      <w:szCs w:val="24"/>
    </w:rPr>
  </w:style>
  <w:style w:type="paragraph" w:styleId="7">
    <w:name w:val="Document Map"/>
    <w:basedOn w:val="1"/>
    <w:link w:val="41"/>
    <w:semiHidden/>
    <w:unhideWhenUsed/>
    <w:qFormat/>
    <w:uiPriority w:val="99"/>
    <w:rPr>
      <w:rFonts w:ascii="宋体"/>
      <w:sz w:val="18"/>
      <w:szCs w:val="18"/>
    </w:rPr>
  </w:style>
  <w:style w:type="paragraph" w:styleId="8">
    <w:name w:val="annotation text"/>
    <w:basedOn w:val="1"/>
    <w:link w:val="36"/>
    <w:unhideWhenUsed/>
    <w:qFormat/>
    <w:uiPriority w:val="99"/>
    <w:pPr>
      <w:jc w:val="left"/>
    </w:pPr>
  </w:style>
  <w:style w:type="paragraph" w:styleId="9">
    <w:name w:val="Body Text"/>
    <w:basedOn w:val="1"/>
    <w:link w:val="32"/>
    <w:semiHidden/>
    <w:unhideWhenUsed/>
    <w:qFormat/>
    <w:uiPriority w:val="99"/>
    <w:pPr>
      <w:spacing w:after="120"/>
    </w:pPr>
  </w:style>
  <w:style w:type="paragraph" w:styleId="10">
    <w:name w:val="Plain Text"/>
    <w:basedOn w:val="1"/>
    <w:link w:val="35"/>
    <w:qFormat/>
    <w:uiPriority w:val="0"/>
    <w:rPr>
      <w:rFonts w:ascii="宋体" w:hAnsi="Courier New" w:cs="Courier New"/>
      <w:szCs w:val="21"/>
    </w:rPr>
  </w:style>
  <w:style w:type="paragraph" w:styleId="11">
    <w:name w:val="Date"/>
    <w:basedOn w:val="1"/>
    <w:next w:val="1"/>
    <w:link w:val="34"/>
    <w:semiHidden/>
    <w:unhideWhenUsed/>
    <w:qFormat/>
    <w:uiPriority w:val="99"/>
    <w:pPr>
      <w:ind w:left="100" w:leftChars="2500"/>
    </w:pPr>
  </w:style>
  <w:style w:type="paragraph" w:styleId="12">
    <w:name w:val="Balloon Text"/>
    <w:basedOn w:val="1"/>
    <w:link w:val="25"/>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37"/>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页眉 字符"/>
    <w:basedOn w:val="18"/>
    <w:link w:val="14"/>
    <w:qFormat/>
    <w:uiPriority w:val="99"/>
    <w:rPr>
      <w:sz w:val="18"/>
      <w:szCs w:val="18"/>
    </w:rPr>
  </w:style>
  <w:style w:type="character" w:customStyle="1" w:styleId="21">
    <w:name w:val="页脚 字符"/>
    <w:basedOn w:val="18"/>
    <w:link w:val="13"/>
    <w:qFormat/>
    <w:uiPriority w:val="99"/>
    <w:rPr>
      <w:rFonts w:ascii="Calibri" w:hAnsi="Calibri" w:eastAsia="宋体" w:cs="Times New Roman"/>
      <w:sz w:val="18"/>
      <w:szCs w:val="18"/>
    </w:rPr>
  </w:style>
  <w:style w:type="character" w:customStyle="1" w:styleId="22">
    <w:name w:val="标题 2 字符"/>
    <w:basedOn w:val="18"/>
    <w:link w:val="2"/>
    <w:qFormat/>
    <w:uiPriority w:val="0"/>
    <w:rPr>
      <w:rFonts w:ascii="Cambria" w:hAnsi="Cambria" w:eastAsia="宋体" w:cs="Times New Roman"/>
      <w:b/>
      <w:bCs/>
      <w:kern w:val="0"/>
      <w:sz w:val="32"/>
      <w:szCs w:val="32"/>
    </w:rPr>
  </w:style>
  <w:style w:type="paragraph" w:styleId="23">
    <w:name w:val="List Paragraph"/>
    <w:basedOn w:val="1"/>
    <w:link w:val="24"/>
    <w:qFormat/>
    <w:uiPriority w:val="0"/>
    <w:pPr>
      <w:ind w:firstLine="420" w:firstLineChars="200"/>
    </w:pPr>
  </w:style>
  <w:style w:type="character" w:customStyle="1" w:styleId="24">
    <w:name w:val="列表段落 字符"/>
    <w:link w:val="23"/>
    <w:qFormat/>
    <w:uiPriority w:val="0"/>
    <w:rPr>
      <w:rFonts w:ascii="Calibri" w:hAnsi="Calibri" w:eastAsia="宋体" w:cs="Times New Roman"/>
    </w:rPr>
  </w:style>
  <w:style w:type="character" w:customStyle="1" w:styleId="25">
    <w:name w:val="批注框文本 字符"/>
    <w:basedOn w:val="18"/>
    <w:link w:val="12"/>
    <w:semiHidden/>
    <w:qFormat/>
    <w:uiPriority w:val="99"/>
    <w:rPr>
      <w:rFonts w:ascii="Calibri" w:hAnsi="Calibri" w:eastAsia="宋体" w:cs="Times New Roman"/>
      <w:sz w:val="18"/>
      <w:szCs w:val="18"/>
    </w:rPr>
  </w:style>
  <w:style w:type="character" w:customStyle="1" w:styleId="26">
    <w:name w:val="标题 3 字符"/>
    <w:basedOn w:val="18"/>
    <w:link w:val="4"/>
    <w:semiHidden/>
    <w:qFormat/>
    <w:uiPriority w:val="9"/>
    <w:rPr>
      <w:rFonts w:ascii="Calibri" w:hAnsi="Calibri" w:eastAsia="宋体" w:cs="Times New Roman"/>
      <w:b/>
      <w:bCs/>
      <w:sz w:val="32"/>
      <w:szCs w:val="32"/>
    </w:rPr>
  </w:style>
  <w:style w:type="paragraph" w:customStyle="1" w:styleId="27">
    <w:name w:val="A标题2"/>
    <w:basedOn w:val="2"/>
    <w:qFormat/>
    <w:uiPriority w:val="0"/>
    <w:pPr>
      <w:numPr>
        <w:ilvl w:val="1"/>
        <w:numId w:val="1"/>
      </w:numPr>
      <w:tabs>
        <w:tab w:val="left" w:pos="360"/>
        <w:tab w:val="clear" w:pos="862"/>
      </w:tabs>
      <w:snapToGrid w:val="0"/>
      <w:spacing w:beforeLines="50" w:afterLines="50" w:line="240" w:lineRule="auto"/>
      <w:ind w:left="1549" w:hanging="420"/>
    </w:pPr>
    <w:rPr>
      <w:rFonts w:ascii="宋体" w:hAnsi="宋体"/>
      <w:color w:val="000000"/>
      <w:kern w:val="44"/>
      <w:sz w:val="28"/>
    </w:rPr>
  </w:style>
  <w:style w:type="paragraph" w:customStyle="1" w:styleId="28">
    <w:name w:val="A标题1"/>
    <w:basedOn w:val="3"/>
    <w:next w:val="9"/>
    <w:qFormat/>
    <w:uiPriority w:val="0"/>
    <w:pPr>
      <w:keepNext w:val="0"/>
      <w:keepLines w:val="0"/>
      <w:pageBreakBefore/>
      <w:numPr>
        <w:ilvl w:val="0"/>
        <w:numId w:val="1"/>
      </w:numPr>
      <w:tabs>
        <w:tab w:val="left" w:pos="360"/>
        <w:tab w:val="left" w:pos="1276"/>
        <w:tab w:val="clear" w:pos="0"/>
      </w:tabs>
      <w:spacing w:beforeLines="170" w:afterLines="170" w:line="240" w:lineRule="auto"/>
      <w:ind w:left="840" w:firstLine="0"/>
      <w:jc w:val="center"/>
    </w:pPr>
    <w:rPr>
      <w:rFonts w:ascii="Times New Roman" w:hAnsi="Times New Roman" w:eastAsia="黑体"/>
      <w:bCs w:val="0"/>
    </w:rPr>
  </w:style>
  <w:style w:type="paragraph" w:customStyle="1" w:styleId="29">
    <w:name w:val="A标题4"/>
    <w:basedOn w:val="5"/>
    <w:qFormat/>
    <w:uiPriority w:val="0"/>
    <w:pPr>
      <w:numPr>
        <w:ilvl w:val="3"/>
        <w:numId w:val="1"/>
      </w:numPr>
      <w:tabs>
        <w:tab w:val="left" w:pos="360"/>
        <w:tab w:val="clear" w:pos="2433"/>
      </w:tabs>
      <w:spacing w:beforeLines="50" w:afterLines="50" w:line="240" w:lineRule="auto"/>
      <w:ind w:left="0" w:right="210" w:rightChars="100" w:firstLine="0"/>
    </w:pPr>
    <w:rPr>
      <w:rFonts w:ascii="Times New Roman" w:hAnsi="Times New Roman" w:eastAsia="黑体" w:cs="Times New Roman"/>
      <w:b w:val="0"/>
      <w:color w:val="000000"/>
      <w:sz w:val="24"/>
      <w:szCs w:val="44"/>
    </w:rPr>
  </w:style>
  <w:style w:type="paragraph" w:customStyle="1" w:styleId="30">
    <w:name w:val="A标题3"/>
    <w:basedOn w:val="4"/>
    <w:qFormat/>
    <w:uiPriority w:val="0"/>
    <w:pPr>
      <w:numPr>
        <w:ilvl w:val="2"/>
        <w:numId w:val="1"/>
      </w:numPr>
      <w:tabs>
        <w:tab w:val="left" w:pos="360"/>
        <w:tab w:val="clear" w:pos="1710"/>
      </w:tabs>
      <w:spacing w:beforeLines="50" w:afterLines="50" w:line="240" w:lineRule="auto"/>
      <w:ind w:left="1617" w:right="210" w:rightChars="100" w:firstLine="0"/>
    </w:pPr>
    <w:rPr>
      <w:rFonts w:ascii="黑体" w:hAnsi="宋体" w:eastAsia="黑体"/>
      <w:bCs w:val="0"/>
      <w:color w:val="000000"/>
      <w:kern w:val="44"/>
      <w:sz w:val="28"/>
      <w:szCs w:val="24"/>
    </w:rPr>
  </w:style>
  <w:style w:type="character" w:customStyle="1" w:styleId="31">
    <w:name w:val="标题 1 字符"/>
    <w:basedOn w:val="18"/>
    <w:link w:val="3"/>
    <w:qFormat/>
    <w:uiPriority w:val="9"/>
    <w:rPr>
      <w:rFonts w:ascii="Calibri" w:hAnsi="Calibri" w:eastAsia="宋体" w:cs="Times New Roman"/>
      <w:b/>
      <w:bCs/>
      <w:kern w:val="44"/>
      <w:sz w:val="44"/>
      <w:szCs w:val="44"/>
    </w:rPr>
  </w:style>
  <w:style w:type="character" w:customStyle="1" w:styleId="32">
    <w:name w:val="正文文本 字符"/>
    <w:basedOn w:val="18"/>
    <w:link w:val="9"/>
    <w:semiHidden/>
    <w:qFormat/>
    <w:uiPriority w:val="99"/>
    <w:rPr>
      <w:rFonts w:ascii="Calibri" w:hAnsi="Calibri" w:eastAsia="宋体" w:cs="Times New Roman"/>
    </w:rPr>
  </w:style>
  <w:style w:type="character" w:customStyle="1" w:styleId="33">
    <w:name w:val="标题 4 字符"/>
    <w:basedOn w:val="18"/>
    <w:link w:val="5"/>
    <w:semiHidden/>
    <w:qFormat/>
    <w:uiPriority w:val="9"/>
    <w:rPr>
      <w:rFonts w:asciiTheme="majorHAnsi" w:hAnsiTheme="majorHAnsi" w:eastAsiaTheme="majorEastAsia" w:cstheme="majorBidi"/>
      <w:b/>
      <w:bCs/>
      <w:sz w:val="28"/>
      <w:szCs w:val="28"/>
    </w:rPr>
  </w:style>
  <w:style w:type="character" w:customStyle="1" w:styleId="34">
    <w:name w:val="日期 字符"/>
    <w:basedOn w:val="18"/>
    <w:link w:val="11"/>
    <w:semiHidden/>
    <w:qFormat/>
    <w:uiPriority w:val="99"/>
    <w:rPr>
      <w:rFonts w:ascii="Calibri" w:hAnsi="Calibri" w:eastAsia="宋体" w:cs="Times New Roman"/>
    </w:rPr>
  </w:style>
  <w:style w:type="character" w:customStyle="1" w:styleId="35">
    <w:name w:val="纯文本 字符"/>
    <w:basedOn w:val="18"/>
    <w:link w:val="10"/>
    <w:qFormat/>
    <w:uiPriority w:val="0"/>
    <w:rPr>
      <w:rFonts w:ascii="宋体" w:hAnsi="Courier New" w:eastAsia="宋体" w:cs="Courier New"/>
      <w:szCs w:val="21"/>
    </w:rPr>
  </w:style>
  <w:style w:type="character" w:customStyle="1" w:styleId="36">
    <w:name w:val="批注文字 字符"/>
    <w:basedOn w:val="18"/>
    <w:link w:val="8"/>
    <w:qFormat/>
    <w:uiPriority w:val="99"/>
    <w:rPr>
      <w:rFonts w:ascii="Calibri" w:hAnsi="Calibri" w:eastAsia="宋体" w:cs="Times New Roman"/>
    </w:rPr>
  </w:style>
  <w:style w:type="character" w:customStyle="1" w:styleId="37">
    <w:name w:val="批注主题 字符"/>
    <w:basedOn w:val="36"/>
    <w:link w:val="16"/>
    <w:semiHidden/>
    <w:qFormat/>
    <w:uiPriority w:val="99"/>
    <w:rPr>
      <w:rFonts w:ascii="Calibri" w:hAnsi="Calibri" w:eastAsia="宋体" w:cs="Times New Roman"/>
      <w:b/>
      <w:bCs/>
    </w:rPr>
  </w:style>
  <w:style w:type="paragraph" w:customStyle="1" w:styleId="38">
    <w:name w:val="样式 正文缩进 + 首行缩进:  2 字符"/>
    <w:basedOn w:val="6"/>
    <w:qFormat/>
    <w:uiPriority w:val="0"/>
    <w:pPr>
      <w:spacing w:line="360" w:lineRule="auto"/>
      <w:ind w:firstLine="200" w:firstLineChars="200"/>
    </w:pPr>
    <w:rPr>
      <w:rFonts w:cs="宋体"/>
      <w:sz w:val="24"/>
      <w:szCs w:val="20"/>
    </w:rPr>
  </w:style>
  <w:style w:type="paragraph" w:customStyle="1" w:styleId="39">
    <w:name w:val="列出段落1"/>
    <w:basedOn w:val="1"/>
    <w:qFormat/>
    <w:uiPriority w:val="0"/>
    <w:pPr>
      <w:spacing w:line="360" w:lineRule="auto"/>
      <w:ind w:firstLine="420" w:firstLineChars="200"/>
    </w:pPr>
    <w:rPr>
      <w:rFonts w:ascii="宋体" w:hAnsi="华文细黑"/>
      <w:color w:val="000000"/>
      <w:szCs w:val="24"/>
    </w:rPr>
  </w:style>
  <w:style w:type="character" w:customStyle="1" w:styleId="40">
    <w:name w:val="正文缩进 字符"/>
    <w:link w:val="6"/>
    <w:qFormat/>
    <w:locked/>
    <w:uiPriority w:val="0"/>
    <w:rPr>
      <w:rFonts w:ascii="Calibri" w:hAnsi="Calibri" w:eastAsia="宋体" w:cs="Times New Roman"/>
      <w:szCs w:val="24"/>
    </w:rPr>
  </w:style>
  <w:style w:type="character" w:customStyle="1" w:styleId="41">
    <w:name w:val="文档结构图 字符"/>
    <w:basedOn w:val="18"/>
    <w:link w:val="7"/>
    <w:semiHidden/>
    <w:qFormat/>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985</Words>
  <Characters>5620</Characters>
  <Lines>46</Lines>
  <Paragraphs>13</Paragraphs>
  <TotalTime>0</TotalTime>
  <ScaleCrop>false</ScaleCrop>
  <LinksUpToDate>false</LinksUpToDate>
  <CharactersWithSpaces>6592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2021-09-28T08:16:00Z</dcterms:created>
  <dc:creator>巴才国</dc:creator>
  <cp:lastModifiedBy>邱杰</cp:lastModifiedBy>
  <cp:lastPrinted>2021-10-29T02:00:00Z</cp:lastPrinted>
  <dcterms:modified xsi:type="dcterms:W3CDTF">2021-11-08T11:37:33Z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6FF36929530F4AA186AA63BD551A2586</vt:lpwstr>
  </property>
</Properties>
</file>