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Times New Roman" w:hAnsi="黑体" w:eastAsia="黑体" w:cs="Times New Roman"/>
          <w:snapToGrid w:val="0"/>
          <w:kern w:val="0"/>
          <w:sz w:val="32"/>
          <w:szCs w:val="32"/>
        </w:rPr>
      </w:pPr>
      <w:r>
        <w:rPr>
          <w:rFonts w:hint="eastAsia" w:ascii="Times New Roman" w:hAnsi="黑体" w:eastAsia="黑体" w:cs="Times New Roman"/>
          <w:snapToGrid w:val="0"/>
          <w:kern w:val="0"/>
          <w:sz w:val="32"/>
          <w:szCs w:val="32"/>
        </w:rPr>
        <w:t>附件</w:t>
      </w:r>
      <w:r>
        <w:rPr>
          <w:rFonts w:ascii="Times New Roman" w:hAnsi="黑体" w:eastAsia="黑体" w:cs="Times New Roman"/>
          <w:snapToGrid w:val="0"/>
          <w:kern w:val="0"/>
          <w:sz w:val="32"/>
          <w:szCs w:val="32"/>
        </w:rPr>
        <w:t>1</w:t>
      </w:r>
    </w:p>
    <w:p>
      <w:pPr>
        <w:adjustRightInd w:val="0"/>
        <w:snapToGrid w:val="0"/>
        <w:spacing w:line="600" w:lineRule="exact"/>
        <w:jc w:val="center"/>
        <w:rPr>
          <w:rFonts w:ascii="方正小标宋_GBK" w:hAnsi="宋体" w:eastAsia="方正小标宋_GBK" w:cs="Times New Roman"/>
          <w:snapToGrid w:val="0"/>
          <w:spacing w:val="20"/>
          <w:kern w:val="0"/>
          <w:sz w:val="44"/>
          <w:szCs w:val="44"/>
        </w:rPr>
      </w:pPr>
      <w:r>
        <w:rPr>
          <w:rFonts w:hint="eastAsia" w:ascii="方正小标宋_GBK" w:hAnsi="宋体" w:eastAsia="方正小标宋_GBK" w:cs="Times New Roman"/>
          <w:snapToGrid w:val="0"/>
          <w:spacing w:val="20"/>
          <w:kern w:val="0"/>
          <w:sz w:val="44"/>
          <w:szCs w:val="44"/>
        </w:rPr>
        <w:t>湖北省规范卫生健康行政处罚</w:t>
      </w:r>
    </w:p>
    <w:p>
      <w:pPr>
        <w:adjustRightInd w:val="0"/>
        <w:snapToGrid w:val="0"/>
        <w:spacing w:line="600" w:lineRule="exact"/>
        <w:jc w:val="center"/>
        <w:rPr>
          <w:rFonts w:ascii="方正小标宋_GBK" w:hAnsi="宋体" w:eastAsia="方正小标宋_GBK" w:cs="Times New Roman"/>
          <w:snapToGrid w:val="0"/>
          <w:spacing w:val="20"/>
          <w:kern w:val="0"/>
          <w:sz w:val="44"/>
          <w:szCs w:val="44"/>
        </w:rPr>
      </w:pPr>
      <w:r>
        <w:rPr>
          <w:rFonts w:hint="eastAsia" w:ascii="方正小标宋_GBK" w:hAnsi="宋体" w:eastAsia="方正小标宋_GBK" w:cs="Times New Roman"/>
          <w:snapToGrid w:val="0"/>
          <w:spacing w:val="20"/>
          <w:kern w:val="0"/>
          <w:sz w:val="44"/>
          <w:szCs w:val="44"/>
        </w:rPr>
        <w:t>自由裁量权指导规则</w:t>
      </w:r>
    </w:p>
    <w:p>
      <w:pPr>
        <w:adjustRightInd w:val="0"/>
        <w:snapToGrid w:val="0"/>
        <w:spacing w:line="600" w:lineRule="exact"/>
        <w:jc w:val="center"/>
        <w:rPr>
          <w:rFonts w:ascii="方正小标宋_GBK" w:hAnsi="宋体" w:eastAsia="方正小标宋_GBK" w:cs="Times New Roman"/>
          <w:snapToGrid w:val="0"/>
          <w:spacing w:val="20"/>
          <w:kern w:val="0"/>
          <w:sz w:val="44"/>
          <w:szCs w:val="44"/>
        </w:rPr>
      </w:pPr>
      <w:r>
        <w:rPr>
          <w:rFonts w:hint="eastAsia" w:ascii="方正小标宋_GBK" w:hAnsi="宋体" w:eastAsia="方正小标宋_GBK" w:cs="Times New Roman"/>
          <w:snapToGrid w:val="0"/>
          <w:spacing w:val="20"/>
          <w:kern w:val="0"/>
          <w:sz w:val="44"/>
          <w:szCs w:val="44"/>
        </w:rPr>
        <w:t>（</w:t>
      </w:r>
      <w:r>
        <w:rPr>
          <w:rFonts w:hint="eastAsia" w:ascii="方正小标宋_GBK" w:hAnsi="宋体" w:eastAsia="方正小标宋_GBK"/>
          <w:snapToGrid w:val="0"/>
          <w:spacing w:val="20"/>
          <w:kern w:val="0"/>
          <w:sz w:val="44"/>
          <w:szCs w:val="44"/>
        </w:rPr>
        <w:t>征求意见稿</w:t>
      </w:r>
      <w:r>
        <w:rPr>
          <w:rFonts w:hint="eastAsia" w:ascii="方正小标宋_GBK" w:hAnsi="宋体" w:eastAsia="方正小标宋_GBK" w:cs="Times New Roman"/>
          <w:snapToGrid w:val="0"/>
          <w:spacing w:val="20"/>
          <w:kern w:val="0"/>
          <w:sz w:val="44"/>
          <w:szCs w:val="44"/>
        </w:rPr>
        <w:t>）</w:t>
      </w:r>
    </w:p>
    <w:p>
      <w:pPr>
        <w:spacing w:line="600" w:lineRule="exact"/>
        <w:jc w:val="center"/>
        <w:rPr>
          <w:rFonts w:ascii="黑体" w:hAnsi="黑体" w:eastAsia="黑体" w:cs="Times New Roman"/>
          <w:snapToGrid w:val="0"/>
          <w:spacing w:val="4"/>
          <w:kern w:val="0"/>
          <w:sz w:val="32"/>
          <w:szCs w:val="32"/>
        </w:rPr>
      </w:pPr>
    </w:p>
    <w:p>
      <w:pPr>
        <w:spacing w:line="600" w:lineRule="exact"/>
        <w:jc w:val="center"/>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第一章</w:t>
      </w:r>
      <w:r>
        <w:rPr>
          <w:rFonts w:ascii="黑体" w:hAnsi="黑体" w:eastAsia="黑体" w:cs="Times New Roman"/>
          <w:snapToGrid w:val="0"/>
          <w:spacing w:val="4"/>
          <w:kern w:val="0"/>
          <w:sz w:val="32"/>
          <w:szCs w:val="32"/>
        </w:rPr>
        <w:t xml:space="preserve">  </w:t>
      </w:r>
      <w:r>
        <w:rPr>
          <w:rFonts w:hint="eastAsia" w:ascii="黑体" w:hAnsi="黑体" w:eastAsia="黑体" w:cs="Times New Roman"/>
          <w:snapToGrid w:val="0"/>
          <w:spacing w:val="4"/>
          <w:kern w:val="0"/>
          <w:sz w:val="32"/>
          <w:szCs w:val="32"/>
        </w:rPr>
        <w:t>总则</w:t>
      </w:r>
    </w:p>
    <w:p>
      <w:pPr>
        <w:spacing w:line="600" w:lineRule="exact"/>
        <w:ind w:firstLine="656" w:firstLineChars="200"/>
        <w:rPr>
          <w:rFonts w:ascii="宋体" w:hAnsi="宋体" w:eastAsia="仿宋_GB2312"/>
          <w:snapToGrid w:val="0"/>
          <w:spacing w:val="4"/>
          <w:kern w:val="0"/>
          <w:sz w:val="32"/>
          <w:szCs w:val="32"/>
        </w:rPr>
      </w:pPr>
      <w:r>
        <w:rPr>
          <w:rFonts w:hint="eastAsia" w:ascii="黑体" w:hAnsi="黑体" w:eastAsia="黑体" w:cs="Times New Roman"/>
          <w:snapToGrid w:val="0"/>
          <w:spacing w:val="4"/>
          <w:kern w:val="0"/>
          <w:sz w:val="32"/>
          <w:szCs w:val="32"/>
        </w:rPr>
        <w:t>第一条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为规范卫生健康行政处罚自由裁量权的行使，促进卫生健康行政处罚公平、公正实施，保护公民、法人或者其他组织的合法权益，根据有关法律、法规及规章规定，结合执法实践，制定本规则。</w:t>
      </w:r>
      <w:r>
        <w:rPr>
          <w:rFonts w:ascii="宋体" w:hAnsi="宋体" w:eastAsia="仿宋_GB2312" w:cs="Times New Roman"/>
          <w:snapToGrid w:val="0"/>
          <w:spacing w:val="4"/>
          <w:kern w:val="0"/>
          <w:sz w:val="32"/>
          <w:szCs w:val="32"/>
        </w:rPr>
        <w:t xml:space="preserve">   </w:t>
      </w:r>
    </w:p>
    <w:p>
      <w:pPr>
        <w:spacing w:line="600" w:lineRule="exact"/>
        <w:ind w:firstLine="656" w:firstLineChars="200"/>
        <w:rPr>
          <w:rFonts w:ascii="宋体" w:hAnsi="宋体" w:eastAsia="仿宋_GB2312" w:cs="Times New Roman"/>
          <w:snapToGrid w:val="0"/>
          <w:spacing w:val="4"/>
          <w:kern w:val="0"/>
          <w:sz w:val="32"/>
          <w:szCs w:val="32"/>
          <w:highlight w:val="none"/>
        </w:rPr>
      </w:pPr>
      <w:r>
        <w:rPr>
          <w:rFonts w:hint="eastAsia" w:ascii="黑体" w:hAnsi="黑体" w:eastAsia="黑体" w:cs="Times New Roman"/>
          <w:snapToGrid w:val="0"/>
          <w:spacing w:val="4"/>
          <w:kern w:val="0"/>
          <w:sz w:val="32"/>
          <w:szCs w:val="32"/>
        </w:rPr>
        <w:t>第二条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highlight w:val="none"/>
        </w:rPr>
        <w:t>本规则所称卫生健康行政处罚自由裁量权是指全省各级卫生健康行政部门及其委托的监督执法机构</w:t>
      </w:r>
      <w:r>
        <w:rPr>
          <w:rFonts w:hint="eastAsia" w:ascii="宋体" w:hAnsi="宋体" w:eastAsia="仿宋_GB2312" w:cs="Times New Roman"/>
          <w:snapToGrid w:val="0"/>
          <w:spacing w:val="4"/>
          <w:kern w:val="0"/>
          <w:sz w:val="32"/>
          <w:szCs w:val="32"/>
        </w:rPr>
        <w:t>（以下统称卫生健康执法机关）依照法定权限、法定程序和本规则，</w:t>
      </w:r>
      <w:r>
        <w:rPr>
          <w:rFonts w:hint="eastAsia" w:ascii="宋体" w:hAnsi="宋体" w:eastAsia="仿宋_GB2312" w:cs="Times New Roman"/>
          <w:snapToGrid w:val="0"/>
          <w:spacing w:val="4"/>
          <w:kern w:val="0"/>
          <w:sz w:val="32"/>
          <w:szCs w:val="32"/>
          <w:highlight w:val="none"/>
        </w:rPr>
        <w:t>对违法行为是否给予处罚、给予何种处罚以及给予何种幅度处罚的自主决定权。</w:t>
      </w:r>
    </w:p>
    <w:p>
      <w:pPr>
        <w:spacing w:line="600" w:lineRule="exact"/>
        <w:ind w:firstLine="534" w:firstLineChars="163"/>
        <w:rPr>
          <w:rFonts w:eastAsia="仿宋_GB2312" w:cs="Times New Roman"/>
          <w:snapToGrid w:val="0"/>
          <w:spacing w:val="4"/>
          <w:sz w:val="32"/>
          <w:szCs w:val="32"/>
        </w:rPr>
      </w:pPr>
      <w:r>
        <w:rPr>
          <w:rFonts w:hint="eastAsia" w:ascii="黑体" w:hAnsi="黑体" w:eastAsia="黑体" w:cs="Times New Roman"/>
          <w:snapToGrid w:val="0"/>
          <w:spacing w:val="4"/>
          <w:sz w:val="32"/>
          <w:szCs w:val="32"/>
        </w:rPr>
        <w:t>第三条</w:t>
      </w:r>
      <w:r>
        <w:rPr>
          <w:rFonts w:eastAsia="仿宋_GB2312" w:cs="Times New Roman"/>
          <w:snapToGrid w:val="0"/>
          <w:spacing w:val="4"/>
          <w:sz w:val="32"/>
          <w:szCs w:val="32"/>
        </w:rPr>
        <w:t xml:space="preserve">  </w:t>
      </w:r>
      <w:r>
        <w:rPr>
          <w:rFonts w:hint="eastAsia" w:eastAsia="仿宋_GB2312" w:cs="Times New Roman"/>
          <w:snapToGrid w:val="0"/>
          <w:spacing w:val="4"/>
          <w:sz w:val="32"/>
          <w:szCs w:val="32"/>
        </w:rPr>
        <w:t>湖北省卫生健康委员会依照法律、法规、规章和本规则的规定，并结合执法实践，制定《湖北省卫生健康规范行政处罚自由裁量权指导标准》（以下简称《指导标准》），作为全省各级卫生健康执法机关实施行政处罚自由裁量的具体适用标准。各地可结合实际，在《指导标准》幅度范围内进行合理细化量化。</w:t>
      </w:r>
    </w:p>
    <w:p>
      <w:pPr>
        <w:spacing w:line="600" w:lineRule="exact"/>
        <w:ind w:firstLine="521" w:firstLineChars="163"/>
        <w:rPr>
          <w:rFonts w:eastAsia="仿宋_GB2312" w:cs="Times New Roman"/>
          <w:snapToGrid w:val="0"/>
          <w:spacing w:val="4"/>
          <w:sz w:val="32"/>
          <w:szCs w:val="32"/>
        </w:rPr>
      </w:pPr>
      <w:r>
        <w:rPr>
          <w:rFonts w:hint="eastAsia" w:ascii="方正仿宋_GBK" w:hAnsi="Times New Roman" w:eastAsia="方正仿宋_GBK"/>
          <w:color w:val="444444"/>
          <w:sz w:val="32"/>
          <w:szCs w:val="32"/>
        </w:rPr>
        <w:t>本</w:t>
      </w:r>
      <w:r>
        <w:rPr>
          <w:rFonts w:hint="eastAsia" w:eastAsia="仿宋_GB2312" w:cs="Times New Roman" w:asciiTheme="minorHAnsi" w:hAnsiTheme="minorHAnsi"/>
          <w:snapToGrid w:val="0"/>
          <w:color w:val="auto"/>
          <w:spacing w:val="4"/>
          <w:sz w:val="32"/>
          <w:szCs w:val="32"/>
        </w:rPr>
        <w:t>规则</w:t>
      </w:r>
      <w:r>
        <w:rPr>
          <w:rFonts w:hint="eastAsia" w:eastAsia="仿宋_GB2312" w:cs="Times New Roman" w:asciiTheme="minorHAnsi" w:hAnsiTheme="minorHAnsi"/>
          <w:snapToGrid w:val="0"/>
          <w:color w:val="auto"/>
          <w:spacing w:val="4"/>
          <w:sz w:val="32"/>
          <w:szCs w:val="32"/>
        </w:rPr>
        <w:t>与《</w:t>
      </w:r>
      <w:r>
        <w:rPr>
          <w:rFonts w:hint="eastAsia" w:eastAsia="仿宋_GB2312" w:cs="Times New Roman" w:asciiTheme="minorHAnsi" w:hAnsiTheme="minorHAnsi"/>
          <w:snapToGrid w:val="0"/>
          <w:color w:val="auto"/>
          <w:spacing w:val="4"/>
          <w:sz w:val="32"/>
          <w:szCs w:val="32"/>
        </w:rPr>
        <w:t>指导标准</w:t>
      </w:r>
      <w:r>
        <w:rPr>
          <w:rFonts w:hint="eastAsia" w:eastAsia="仿宋_GB2312" w:cs="Times New Roman" w:asciiTheme="minorHAnsi" w:hAnsiTheme="minorHAnsi"/>
          <w:snapToGrid w:val="0"/>
          <w:color w:val="auto"/>
          <w:spacing w:val="4"/>
          <w:sz w:val="32"/>
          <w:szCs w:val="32"/>
        </w:rPr>
        <w:t>》配套实施</w:t>
      </w:r>
      <w:r>
        <w:rPr>
          <w:rFonts w:hint="eastAsia" w:eastAsia="仿宋_GB2312" w:cs="Times New Roman"/>
          <w:snapToGrid w:val="0"/>
          <w:spacing w:val="4"/>
          <w:sz w:val="32"/>
          <w:szCs w:val="32"/>
        </w:rPr>
        <w:t>，</w:t>
      </w:r>
      <w:r>
        <w:rPr>
          <w:rFonts w:hint="eastAsia" w:eastAsia="仿宋_GB2312" w:cs="Times New Roman"/>
          <w:snapToGrid w:val="0"/>
          <w:color w:val="auto"/>
          <w:spacing w:val="4"/>
          <w:sz w:val="32"/>
          <w:szCs w:val="32"/>
        </w:rPr>
        <w:t>全省各级</w:t>
      </w:r>
      <w:r>
        <w:rPr>
          <w:rFonts w:hint="eastAsia" w:eastAsia="仿宋_GB2312" w:cs="Times New Roman"/>
          <w:snapToGrid w:val="0"/>
          <w:spacing w:val="4"/>
          <w:sz w:val="32"/>
          <w:szCs w:val="32"/>
        </w:rPr>
        <w:t>卫生健康执法机关</w:t>
      </w:r>
      <w:r>
        <w:rPr>
          <w:rFonts w:hint="eastAsia" w:eastAsia="仿宋_GB2312" w:cs="Times New Roman"/>
          <w:snapToGrid w:val="0"/>
          <w:color w:val="auto"/>
          <w:spacing w:val="4"/>
          <w:sz w:val="32"/>
          <w:szCs w:val="32"/>
        </w:rPr>
        <w:t>进行行政处罚裁量时</w:t>
      </w:r>
      <w:r>
        <w:rPr>
          <w:rFonts w:hint="eastAsia" w:eastAsia="仿宋_GB2312" w:cs="Times New Roman"/>
          <w:snapToGrid w:val="0"/>
          <w:spacing w:val="4"/>
          <w:sz w:val="32"/>
          <w:szCs w:val="32"/>
        </w:rPr>
        <w:t>,应</w:t>
      </w:r>
      <w:r>
        <w:rPr>
          <w:rFonts w:hint="eastAsia" w:eastAsia="仿宋_GB2312" w:cs="Times New Roman"/>
          <w:snapToGrid w:val="0"/>
          <w:color w:val="auto"/>
          <w:spacing w:val="4"/>
          <w:sz w:val="32"/>
          <w:szCs w:val="32"/>
        </w:rPr>
        <w:t>统一遵守本</w:t>
      </w:r>
      <w:r>
        <w:rPr>
          <w:rFonts w:hint="eastAsia" w:eastAsia="仿宋_GB2312" w:cs="Times New Roman"/>
          <w:snapToGrid w:val="0"/>
          <w:spacing w:val="4"/>
          <w:sz w:val="32"/>
          <w:szCs w:val="32"/>
        </w:rPr>
        <w:t>规则</w:t>
      </w:r>
      <w:r>
        <w:rPr>
          <w:rFonts w:hint="eastAsia" w:eastAsia="仿宋_GB2312" w:cs="Times New Roman"/>
          <w:snapToGrid w:val="0"/>
          <w:color w:val="auto"/>
          <w:spacing w:val="4"/>
          <w:sz w:val="32"/>
          <w:szCs w:val="32"/>
        </w:rPr>
        <w:t>和《</w:t>
      </w:r>
      <w:r>
        <w:rPr>
          <w:rFonts w:hint="eastAsia" w:eastAsia="仿宋_GB2312" w:cs="Times New Roman"/>
          <w:snapToGrid w:val="0"/>
          <w:spacing w:val="4"/>
          <w:sz w:val="32"/>
          <w:szCs w:val="32"/>
        </w:rPr>
        <w:t>指导标准</w:t>
      </w:r>
      <w:r>
        <w:rPr>
          <w:rFonts w:hint="eastAsia" w:eastAsia="仿宋_GB2312" w:cs="Times New Roman"/>
          <w:snapToGrid w:val="0"/>
          <w:color w:val="auto"/>
          <w:spacing w:val="4"/>
          <w:sz w:val="32"/>
          <w:szCs w:val="32"/>
        </w:rPr>
        <w:t>》。</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第四条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卫生健康执法机关在实施行政处罚时，应当贯彻执行相关法律、法规、规章的规定，并遵循下列原则：</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（一）除法定减轻处罚情形外，行使自由裁量权不得超越法律、法规、规章规定的自由裁量幅度和权限；</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（二）必须符合法律、法规、规章的立法目的和宗旨</w:t>
      </w:r>
      <w:r>
        <w:rPr>
          <w:rFonts w:ascii="宋体" w:hAnsi="宋体" w:eastAsia="仿宋_GB2312" w:cs="Times New Roman"/>
          <w:snapToGrid w:val="0"/>
          <w:spacing w:val="4"/>
          <w:kern w:val="0"/>
          <w:sz w:val="32"/>
          <w:szCs w:val="32"/>
        </w:rPr>
        <w:t>,</w:t>
      </w:r>
      <w:r>
        <w:rPr>
          <w:rFonts w:hint="eastAsia" w:ascii="宋体" w:hAnsi="宋体" w:eastAsia="仿宋_GB2312" w:cs="Times New Roman"/>
          <w:snapToGrid w:val="0"/>
          <w:spacing w:val="4"/>
          <w:kern w:val="0"/>
          <w:sz w:val="32"/>
          <w:szCs w:val="32"/>
        </w:rPr>
        <w:t>所采取的措施和手段应当必要、适当，程序合法正当；</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（三）实施的行政处罚决定应当综合考虑违法行为的事实、性质、情节以及社会危害程度，排除不相关因素的干扰；</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（四）同一办案机关</w:t>
      </w:r>
      <w:r>
        <w:rPr>
          <w:rFonts w:hint="eastAsia" w:ascii="宋体" w:hAnsi="宋体" w:eastAsia="仿宋_GB2312" w:cs="Times New Roman"/>
          <w:snapToGrid w:val="0"/>
          <w:color w:val="auto"/>
          <w:spacing w:val="4"/>
          <w:kern w:val="0"/>
          <w:sz w:val="32"/>
          <w:szCs w:val="32"/>
        </w:rPr>
        <w:t>对于违法事实、性质、情节及社会危害程度等因素基本相同</w:t>
      </w:r>
      <w:r>
        <w:rPr>
          <w:rFonts w:hint="eastAsia" w:ascii="宋体" w:hAnsi="宋体" w:eastAsia="仿宋_GB2312" w:cs="Times New Roman"/>
          <w:snapToGrid w:val="0"/>
          <w:spacing w:val="4"/>
          <w:kern w:val="0"/>
          <w:sz w:val="32"/>
          <w:szCs w:val="32"/>
        </w:rPr>
        <w:t>的案件，</w:t>
      </w:r>
      <w:r>
        <w:rPr>
          <w:rFonts w:hint="eastAsia" w:ascii="宋体" w:hAnsi="宋体" w:eastAsia="仿宋_GB2312" w:cs="Times New Roman"/>
          <w:snapToGrid w:val="0"/>
          <w:color w:val="auto"/>
          <w:spacing w:val="4"/>
          <w:kern w:val="0"/>
          <w:sz w:val="32"/>
          <w:szCs w:val="32"/>
        </w:rPr>
        <w:t>所适用的法律依据、处罚种类和幅度应当相同或者相当。</w:t>
      </w:r>
    </w:p>
    <w:p>
      <w:pPr>
        <w:spacing w:line="600" w:lineRule="exact"/>
        <w:jc w:val="center"/>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第二章</w:t>
      </w:r>
      <w:r>
        <w:rPr>
          <w:rFonts w:ascii="黑体" w:hAnsi="黑体" w:eastAsia="黑体" w:cs="Times New Roman"/>
          <w:snapToGrid w:val="0"/>
          <w:spacing w:val="4"/>
          <w:kern w:val="0"/>
          <w:sz w:val="32"/>
          <w:szCs w:val="32"/>
        </w:rPr>
        <w:t xml:space="preserve">  </w:t>
      </w:r>
      <w:r>
        <w:rPr>
          <w:rFonts w:hint="eastAsia" w:ascii="黑体" w:hAnsi="黑体" w:eastAsia="黑体" w:cs="Times New Roman"/>
          <w:snapToGrid w:val="0"/>
          <w:spacing w:val="4"/>
          <w:kern w:val="0"/>
          <w:sz w:val="32"/>
          <w:szCs w:val="32"/>
        </w:rPr>
        <w:t>适用规则</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第五条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在实施行政处罚时，</w:t>
      </w:r>
      <w:r>
        <w:rPr>
          <w:rFonts w:hint="eastAsia" w:eastAsia="仿宋_GB2312" w:cs="Times New Roman"/>
          <w:snapToGrid w:val="0"/>
          <w:spacing w:val="4"/>
          <w:sz w:val="32"/>
          <w:szCs w:val="32"/>
        </w:rPr>
        <w:t>《指导标准》对于违法情形有具体裁量标准的，应当根据违法情形确定轻微、一般、严重等相应的违法类型，</w:t>
      </w:r>
      <w:r>
        <w:rPr>
          <w:rFonts w:hint="eastAsia" w:ascii="宋体" w:hAnsi="宋体" w:eastAsia="仿宋_GB2312" w:cs="Times New Roman"/>
          <w:snapToGrid w:val="0"/>
          <w:spacing w:val="4"/>
          <w:kern w:val="0"/>
          <w:sz w:val="32"/>
          <w:szCs w:val="32"/>
        </w:rPr>
        <w:t>确定相应阶次的裁量基准范围，再根据法律、法规、规章及本规则规定的减轻、从轻、从重等规定，确定具体处罚内容。</w:t>
      </w:r>
    </w:p>
    <w:p>
      <w:pPr>
        <w:spacing w:line="600" w:lineRule="exact"/>
        <w:ind w:firstLine="656" w:firstLineChars="200"/>
        <w:rPr>
          <w:rFonts w:eastAsia="仿宋_GB2312" w:cs="Times New Roman"/>
          <w:snapToGrid w:val="0"/>
          <w:spacing w:val="4"/>
          <w:sz w:val="32"/>
          <w:szCs w:val="32"/>
        </w:rPr>
      </w:pPr>
      <w:r>
        <w:rPr>
          <w:rFonts w:hint="eastAsia" w:eastAsia="仿宋_GB2312" w:cs="Times New Roman"/>
          <w:snapToGrid w:val="0"/>
          <w:spacing w:val="4"/>
          <w:sz w:val="32"/>
          <w:szCs w:val="32"/>
        </w:rPr>
        <w:t>《指导标准》中未规定的违法情形，法律规范</w:t>
      </w:r>
      <w:r>
        <w:rPr>
          <w:rFonts w:hint="eastAsia" w:ascii="宋体" w:hAnsi="宋体" w:eastAsia="仿宋_GB2312" w:cs="Times New Roman"/>
          <w:snapToGrid w:val="0"/>
          <w:spacing w:val="4"/>
          <w:kern w:val="0"/>
          <w:sz w:val="32"/>
          <w:szCs w:val="32"/>
        </w:rPr>
        <w:t>有自由裁量空间的，</w:t>
      </w:r>
      <w:r>
        <w:rPr>
          <w:rFonts w:hint="eastAsia" w:eastAsia="仿宋_GB2312" w:cs="Times New Roman"/>
          <w:snapToGrid w:val="0"/>
          <w:spacing w:val="4"/>
          <w:sz w:val="32"/>
          <w:szCs w:val="32"/>
        </w:rPr>
        <w:t>应当根据相应法律、法规、规章及本规则行使行政处罚裁量权，确定轻微、一般、严重等违法类型，再</w:t>
      </w:r>
      <w:r>
        <w:rPr>
          <w:rFonts w:hint="eastAsia" w:ascii="宋体" w:hAnsi="宋体" w:eastAsia="仿宋_GB2312" w:cs="Times New Roman"/>
          <w:snapToGrid w:val="0"/>
          <w:spacing w:val="4"/>
          <w:kern w:val="0"/>
          <w:sz w:val="32"/>
          <w:szCs w:val="32"/>
        </w:rPr>
        <w:t>确定相应阶次的裁量基准范围。</w:t>
      </w:r>
    </w:p>
    <w:p>
      <w:pPr>
        <w:spacing w:line="600" w:lineRule="exact"/>
        <w:ind w:firstLine="656" w:firstLineChars="200"/>
        <w:rPr>
          <w:rFonts w:eastAsia="仿宋_GB2312" w:cs="Times New Roman"/>
          <w:snapToGrid w:val="0"/>
          <w:spacing w:val="4"/>
          <w:sz w:val="32"/>
          <w:szCs w:val="32"/>
        </w:rPr>
      </w:pPr>
      <w:r>
        <w:rPr>
          <w:rFonts w:hint="eastAsia" w:eastAsia="仿宋_GB2312" w:cs="Times New Roman"/>
          <w:snapToGrid w:val="0"/>
          <w:color w:val="333333"/>
          <w:spacing w:val="4"/>
          <w:sz w:val="32"/>
          <w:szCs w:val="32"/>
          <w:shd w:val="clear" w:color="auto" w:fill="FFFFFF"/>
        </w:rPr>
        <w:t>同时具有</w:t>
      </w:r>
      <w:r>
        <w:rPr>
          <w:rFonts w:hint="eastAsia" w:eastAsia="仿宋_GB2312" w:cs="Times New Roman"/>
          <w:snapToGrid w:val="0"/>
          <w:spacing w:val="4"/>
          <w:sz w:val="32"/>
          <w:szCs w:val="32"/>
        </w:rPr>
        <w:t>3</w:t>
      </w:r>
      <w:r>
        <w:rPr>
          <w:rFonts w:hint="eastAsia" w:eastAsia="仿宋_GB2312" w:cs="Times New Roman"/>
          <w:snapToGrid w:val="0"/>
          <w:color w:val="333333"/>
          <w:spacing w:val="4"/>
          <w:sz w:val="32"/>
          <w:szCs w:val="32"/>
          <w:shd w:val="clear" w:color="auto" w:fill="FFFFFF"/>
        </w:rPr>
        <w:t>个</w:t>
      </w:r>
      <w:r>
        <w:rPr>
          <w:rFonts w:hint="eastAsia" w:eastAsia="仿宋_GB2312" w:cs="Times New Roman"/>
          <w:snapToGrid w:val="0"/>
          <w:spacing w:val="4"/>
          <w:sz w:val="32"/>
          <w:szCs w:val="32"/>
        </w:rPr>
        <w:t>及</w:t>
      </w:r>
      <w:r>
        <w:rPr>
          <w:rFonts w:hint="eastAsia" w:eastAsia="仿宋_GB2312" w:cs="Times New Roman"/>
          <w:snapToGrid w:val="0"/>
          <w:color w:val="333333"/>
          <w:spacing w:val="4"/>
          <w:sz w:val="32"/>
          <w:szCs w:val="32"/>
          <w:shd w:val="clear" w:color="auto" w:fill="FFFFFF"/>
        </w:rPr>
        <w:t>以上从重处罚情节</w:t>
      </w:r>
      <w:r>
        <w:rPr>
          <w:rFonts w:hint="eastAsia" w:eastAsia="仿宋_GB2312" w:cs="Times New Roman"/>
          <w:snapToGrid w:val="0"/>
          <w:spacing w:val="4"/>
          <w:sz w:val="32"/>
          <w:szCs w:val="32"/>
        </w:rPr>
        <w:t>的，可以</w:t>
      </w:r>
      <w:r>
        <w:rPr>
          <w:rFonts w:hint="eastAsia" w:eastAsia="仿宋_GB2312" w:cs="Times New Roman"/>
          <w:snapToGrid w:val="0"/>
          <w:color w:val="333333"/>
          <w:spacing w:val="4"/>
          <w:sz w:val="32"/>
          <w:szCs w:val="32"/>
          <w:shd w:val="clear" w:color="auto" w:fill="FFFFFF"/>
        </w:rPr>
        <w:t>按最高幅度予以处罚；同时具有</w:t>
      </w:r>
      <w:r>
        <w:rPr>
          <w:rFonts w:hint="eastAsia" w:eastAsia="仿宋_GB2312" w:cs="Times New Roman"/>
          <w:snapToGrid w:val="0"/>
          <w:spacing w:val="4"/>
          <w:sz w:val="32"/>
          <w:szCs w:val="32"/>
        </w:rPr>
        <w:t>3个及以上</w:t>
      </w:r>
      <w:r>
        <w:rPr>
          <w:rFonts w:hint="eastAsia" w:eastAsia="仿宋_GB2312" w:cs="Times New Roman"/>
          <w:snapToGrid w:val="0"/>
          <w:color w:val="333333"/>
          <w:spacing w:val="4"/>
          <w:sz w:val="32"/>
          <w:szCs w:val="32"/>
          <w:shd w:val="clear" w:color="auto" w:fill="FFFFFF"/>
        </w:rPr>
        <w:t>从轻处罚情节的，</w:t>
      </w:r>
      <w:r>
        <w:rPr>
          <w:rFonts w:hint="eastAsia" w:eastAsia="仿宋_GB2312" w:cs="Times New Roman"/>
          <w:snapToGrid w:val="0"/>
          <w:spacing w:val="4"/>
          <w:sz w:val="32"/>
          <w:szCs w:val="32"/>
        </w:rPr>
        <w:t>可以</w:t>
      </w:r>
      <w:r>
        <w:rPr>
          <w:rFonts w:hint="eastAsia" w:eastAsia="仿宋_GB2312" w:cs="Times New Roman"/>
          <w:snapToGrid w:val="0"/>
          <w:color w:val="333333"/>
          <w:spacing w:val="4"/>
          <w:sz w:val="32"/>
          <w:szCs w:val="32"/>
          <w:shd w:val="clear" w:color="auto" w:fill="FFFFFF"/>
        </w:rPr>
        <w:t>按最低处罚幅度予以处罚；</w:t>
      </w:r>
      <w:r>
        <w:rPr>
          <w:rFonts w:hint="eastAsia" w:eastAsia="仿宋_GB2312" w:cs="Times New Roman"/>
          <w:snapToGrid w:val="0"/>
          <w:color w:val="000000"/>
          <w:spacing w:val="4"/>
          <w:sz w:val="32"/>
          <w:szCs w:val="32"/>
          <w:shd w:val="clear" w:color="auto" w:fill="FFFFFF"/>
        </w:rPr>
        <w:t>既有从轻或者减轻处罚情节，又有从重处罚情节的，应当结合案情综合裁量后作出适当的行政处罚，但违法行为已经造成严重后果的，不适用从轻或者减轻处罚。</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ascii="黑体" w:hAnsi="黑体" w:eastAsia="黑体" w:cs="Times New Roman"/>
          <w:snapToGrid w:val="0"/>
          <w:color w:val="auto"/>
          <w:spacing w:val="4"/>
          <w:sz w:val="32"/>
          <w:szCs w:val="32"/>
        </w:rPr>
        <w:t>第</w:t>
      </w:r>
      <w:r>
        <w:rPr>
          <w:rFonts w:hint="eastAsia" w:ascii="黑体" w:hAnsi="黑体" w:eastAsia="黑体" w:cs="Times New Roman"/>
          <w:snapToGrid w:val="0"/>
          <w:spacing w:val="4"/>
          <w:kern w:val="0"/>
          <w:sz w:val="32"/>
          <w:szCs w:val="32"/>
        </w:rPr>
        <w:t>六</w:t>
      </w:r>
      <w:r>
        <w:rPr>
          <w:rFonts w:hint="eastAsia" w:ascii="黑体" w:hAnsi="黑体" w:eastAsia="黑体" w:cs="Times New Roman"/>
          <w:snapToGrid w:val="0"/>
          <w:color w:val="auto"/>
          <w:spacing w:val="4"/>
          <w:sz w:val="32"/>
          <w:szCs w:val="32"/>
        </w:rPr>
        <w:t>条</w:t>
      </w:r>
      <w:r>
        <w:rPr>
          <w:rFonts w:eastAsia="仿宋_GB2312" w:cs="Times New Roman" w:asciiTheme="minorHAnsi" w:hAnsiTheme="minorHAnsi"/>
          <w:snapToGrid w:val="0"/>
          <w:color w:val="auto"/>
          <w:spacing w:val="4"/>
          <w:kern w:val="2"/>
          <w:sz w:val="32"/>
          <w:szCs w:val="32"/>
        </w:rPr>
        <w:t>  </w:t>
      </w:r>
      <w:r>
        <w:rPr>
          <w:rFonts w:hint="eastAsia" w:eastAsia="仿宋_GB2312" w:cs="Times New Roman" w:asciiTheme="minorHAnsi" w:hAnsiTheme="minorHAnsi"/>
          <w:snapToGrid w:val="0"/>
          <w:spacing w:val="4"/>
          <w:kern w:val="2"/>
          <w:sz w:val="32"/>
          <w:szCs w:val="32"/>
        </w:rPr>
        <w:t xml:space="preserve"> </w:t>
      </w:r>
      <w:r>
        <w:rPr>
          <w:rFonts w:hint="eastAsia" w:eastAsia="仿宋_GB2312" w:cs="Times New Roman" w:asciiTheme="minorHAnsi" w:hAnsiTheme="minorHAnsi"/>
          <w:snapToGrid w:val="0"/>
          <w:color w:val="auto"/>
          <w:spacing w:val="4"/>
          <w:kern w:val="2"/>
          <w:sz w:val="32"/>
          <w:szCs w:val="32"/>
        </w:rPr>
        <w:t>有下列情形之一的，应当不予行政处罚</w:t>
      </w:r>
      <w:r>
        <w:rPr>
          <w:rFonts w:hint="eastAsia" w:eastAsia="仿宋_GB2312" w:cs="Times New Roman" w:asciiTheme="minorHAnsi" w:hAnsiTheme="minorHAnsi"/>
          <w:snapToGrid w:val="0"/>
          <w:spacing w:val="4"/>
          <w:kern w:val="2"/>
          <w:sz w:val="32"/>
          <w:szCs w:val="32"/>
        </w:rPr>
        <w:t>：</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（一）不满</w:t>
      </w:r>
      <w:r>
        <w:rPr>
          <w:rFonts w:eastAsia="仿宋_GB2312" w:cs="Times New Roman" w:asciiTheme="minorHAnsi" w:hAnsiTheme="minorHAnsi"/>
          <w:snapToGrid w:val="0"/>
          <w:color w:val="auto"/>
          <w:spacing w:val="4"/>
          <w:kern w:val="2"/>
          <w:sz w:val="32"/>
          <w:szCs w:val="32"/>
        </w:rPr>
        <w:t>14</w:t>
      </w:r>
      <w:r>
        <w:rPr>
          <w:rFonts w:hint="eastAsia" w:eastAsia="仿宋_GB2312" w:cs="Times New Roman" w:asciiTheme="minorHAnsi" w:hAnsiTheme="minorHAnsi"/>
          <w:snapToGrid w:val="0"/>
          <w:color w:val="auto"/>
          <w:spacing w:val="4"/>
          <w:kern w:val="2"/>
          <w:sz w:val="32"/>
          <w:szCs w:val="32"/>
        </w:rPr>
        <w:t>周岁的未成年人有违法行为的；</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（二）精神病人、智力残疾人在不能辨认或控制自己行为时有违法行为的；</w:t>
      </w:r>
    </w:p>
    <w:p>
      <w:pPr>
        <w:pStyle w:val="5"/>
        <w:widowControl w:val="0"/>
        <w:shd w:val="clear" w:color="auto" w:fill="FFFFFF"/>
        <w:spacing w:line="600" w:lineRule="exact"/>
        <w:ind w:firstLine="641"/>
        <w:jc w:val="both"/>
        <w:rPr>
          <w:rFonts w:eastAsia="仿宋_GB2312" w:cs="Times New Roman" w:asciiTheme="minorHAnsi" w:hAnsiTheme="minorHAnsi"/>
          <w:snapToGrid w:val="0"/>
          <w:color w:val="auto"/>
          <w:spacing w:val="4"/>
          <w:kern w:val="2"/>
          <w:sz w:val="32"/>
          <w:szCs w:val="32"/>
        </w:rPr>
      </w:pPr>
      <w:r>
        <w:rPr>
          <w:rFonts w:hint="eastAsia" w:eastAsia="仿宋_GB2312" w:cs="Times New Roman" w:asciiTheme="minorHAnsi" w:hAnsiTheme="minorHAnsi"/>
          <w:snapToGrid w:val="0"/>
          <w:color w:val="auto"/>
          <w:spacing w:val="4"/>
          <w:kern w:val="2"/>
          <w:sz w:val="32"/>
          <w:szCs w:val="32"/>
        </w:rPr>
        <w:t>（三）违法行为轻微并及时改正，没有造成危害后果的；</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（四）</w:t>
      </w:r>
      <w:r>
        <w:rPr>
          <w:rFonts w:hint="eastAsia" w:eastAsia="仿宋_GB2312" w:cs="Times New Roman" w:asciiTheme="minorHAnsi" w:hAnsiTheme="minorHAnsi"/>
          <w:snapToGrid w:val="0"/>
          <w:spacing w:val="4"/>
          <w:kern w:val="2"/>
          <w:sz w:val="32"/>
          <w:szCs w:val="32"/>
        </w:rPr>
        <w:t>除法律、行政法规另有规定的除外，</w:t>
      </w:r>
      <w:r>
        <w:rPr>
          <w:rFonts w:hint="eastAsia" w:eastAsia="仿宋_GB2312" w:cs="Times New Roman" w:asciiTheme="minorHAnsi" w:hAnsiTheme="minorHAnsi"/>
          <w:snapToGrid w:val="0"/>
          <w:color w:val="auto"/>
          <w:spacing w:val="4"/>
          <w:kern w:val="2"/>
          <w:sz w:val="32"/>
          <w:szCs w:val="32"/>
        </w:rPr>
        <w:t>当事人有证据足以证明没有主观过错的；</w:t>
      </w:r>
    </w:p>
    <w:p>
      <w:pPr>
        <w:spacing w:line="600" w:lineRule="exact"/>
        <w:ind w:firstLine="645"/>
        <w:rPr>
          <w:rFonts w:ascii="仿宋_GB2312" w:hAnsi="仿宋_GB2312" w:eastAsia="仿宋_GB2312" w:cs="仿宋_GB2312"/>
          <w:color w:val="333333"/>
          <w:sz w:val="32"/>
          <w:szCs w:val="32"/>
        </w:rPr>
      </w:pPr>
      <w:r>
        <w:rPr>
          <w:rFonts w:hint="eastAsia" w:eastAsia="仿宋_GB2312" w:cs="Times New Roman"/>
          <w:snapToGrid w:val="0"/>
          <w:spacing w:val="4"/>
          <w:sz w:val="32"/>
          <w:szCs w:val="32"/>
        </w:rPr>
        <w:t>（五）</w:t>
      </w:r>
      <w:r>
        <w:rPr>
          <w:rFonts w:hint="eastAsia" w:ascii="仿宋_GB2312" w:hAnsi="仿宋_GB2312" w:eastAsia="仿宋_GB2312" w:cs="仿宋_GB2312"/>
          <w:sz w:val="32"/>
          <w:szCs w:val="32"/>
        </w:rPr>
        <w:t>除法律另有规定的外，违法行为在二年内未被发现的；</w:t>
      </w:r>
      <w:r>
        <w:rPr>
          <w:rFonts w:hint="eastAsia" w:ascii="仿宋_GB2312" w:hAnsi="仿宋_GB2312" w:eastAsia="仿宋_GB2312" w:cs="仿宋_GB2312"/>
          <w:color w:val="333333"/>
          <w:sz w:val="32"/>
          <w:szCs w:val="32"/>
        </w:rPr>
        <w:t>涉及公民生命健康安全、金融安全且有危害后果的，</w:t>
      </w:r>
      <w:r>
        <w:rPr>
          <w:rFonts w:hint="eastAsia" w:ascii="仿宋_GB2312" w:hAnsi="仿宋_GB2312" w:eastAsia="仿宋_GB2312" w:cs="仿宋_GB2312"/>
          <w:sz w:val="32"/>
          <w:szCs w:val="32"/>
        </w:rPr>
        <w:t>违法行为在五年内未被发现的</w:t>
      </w:r>
      <w:r>
        <w:rPr>
          <w:rFonts w:hint="eastAsia" w:ascii="仿宋_GB2312" w:hAnsi="仿宋_GB2312" w:eastAsia="仿宋_GB2312" w:cs="仿宋_GB2312"/>
          <w:color w:val="333333"/>
          <w:sz w:val="32"/>
          <w:szCs w:val="32"/>
        </w:rPr>
        <w:t>；</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六</w:t>
      </w:r>
      <w:r>
        <w:rPr>
          <w:rFonts w:hint="eastAsia" w:eastAsia="仿宋_GB2312" w:cs="Times New Roman" w:asciiTheme="minorHAnsi" w:hAnsiTheme="minorHAnsi"/>
          <w:snapToGrid w:val="0"/>
          <w:color w:val="auto"/>
          <w:spacing w:val="4"/>
          <w:kern w:val="2"/>
          <w:sz w:val="32"/>
          <w:szCs w:val="32"/>
        </w:rPr>
        <w:t>）法律、法规、规章规定不予行政处罚的其他情形。</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spacing w:val="4"/>
          <w:kern w:val="2"/>
          <w:sz w:val="32"/>
          <w:szCs w:val="32"/>
        </w:rPr>
        <w:t>初次违法且危害后果轻微并及时改正的，可以不予行政处罚。</w:t>
      </w:r>
    </w:p>
    <w:p>
      <w:pPr>
        <w:spacing w:line="600" w:lineRule="exact"/>
        <w:ind w:firstLine="660"/>
        <w:rPr>
          <w:rFonts w:eastAsia="仿宋_GB2312" w:cs="Times New Roman" w:asciiTheme="minorHAnsi" w:hAnsiTheme="minorHAnsi"/>
          <w:b w:val="0"/>
          <w:snapToGrid w:val="0"/>
          <w:spacing w:val="4"/>
          <w:kern w:val="2"/>
          <w:sz w:val="32"/>
          <w:szCs w:val="32"/>
        </w:rPr>
      </w:pPr>
      <w:r>
        <w:rPr>
          <w:rFonts w:hint="eastAsia" w:ascii="黑体" w:hAnsi="黑体" w:eastAsia="黑体" w:cs="Times New Roman"/>
          <w:snapToGrid w:val="0"/>
          <w:spacing w:val="4"/>
          <w:kern w:val="0"/>
          <w:sz w:val="32"/>
          <w:szCs w:val="32"/>
        </w:rPr>
        <w:t>第七条</w:t>
      </w:r>
      <w:r>
        <w:rPr>
          <w:rFonts w:eastAsia="仿宋_GB2312" w:cs="Times New Roman" w:asciiTheme="minorHAnsi" w:hAnsiTheme="minorHAnsi"/>
          <w:snapToGrid w:val="0"/>
          <w:spacing w:val="4"/>
          <w:kern w:val="2"/>
          <w:sz w:val="32"/>
          <w:szCs w:val="32"/>
        </w:rPr>
        <w:t xml:space="preserve">  </w:t>
      </w:r>
      <w:r>
        <w:rPr>
          <w:rFonts w:hint="eastAsia" w:eastAsia="仿宋_GB2312" w:cs="Times New Roman" w:asciiTheme="minorHAnsi" w:hAnsiTheme="minorHAnsi"/>
          <w:snapToGrid w:val="0"/>
          <w:spacing w:val="4"/>
          <w:kern w:val="2"/>
          <w:sz w:val="32"/>
          <w:szCs w:val="32"/>
        </w:rPr>
        <w:t>关于轻微违法或初次违法行为不予行政处罚的实施，按照省级卫生健康行政部门印发的相关制度执行。</w:t>
      </w:r>
    </w:p>
    <w:p>
      <w:pPr>
        <w:pStyle w:val="5"/>
        <w:widowControl w:val="0"/>
        <w:shd w:val="clear" w:color="auto" w:fill="FFFFFF"/>
        <w:spacing w:line="600" w:lineRule="exact"/>
        <w:ind w:firstLine="640"/>
        <w:jc w:val="both"/>
        <w:rPr>
          <w:rFonts w:eastAsia="仿宋_GB2312" w:cs="Times New Roman" w:asciiTheme="minorHAnsi" w:hAnsiTheme="minorHAnsi"/>
          <w:snapToGrid w:val="0"/>
          <w:color w:val="auto"/>
          <w:spacing w:val="4"/>
          <w:kern w:val="2"/>
          <w:sz w:val="32"/>
          <w:szCs w:val="32"/>
        </w:rPr>
      </w:pPr>
      <w:r>
        <w:rPr>
          <w:rFonts w:hint="eastAsia" w:ascii="黑体" w:hAnsi="黑体" w:eastAsia="黑体" w:cs="Times New Roman"/>
          <w:snapToGrid w:val="0"/>
          <w:color w:val="auto"/>
          <w:spacing w:val="4"/>
          <w:sz w:val="32"/>
          <w:szCs w:val="32"/>
        </w:rPr>
        <w:t>第</w:t>
      </w:r>
      <w:r>
        <w:rPr>
          <w:rFonts w:hint="eastAsia" w:ascii="黑体" w:hAnsi="黑体" w:eastAsia="黑体" w:cs="Times New Roman"/>
          <w:snapToGrid w:val="0"/>
          <w:spacing w:val="4"/>
          <w:kern w:val="0"/>
          <w:sz w:val="32"/>
          <w:szCs w:val="32"/>
        </w:rPr>
        <w:t>八</w:t>
      </w:r>
      <w:r>
        <w:rPr>
          <w:rFonts w:hint="eastAsia" w:ascii="黑体" w:hAnsi="黑体" w:eastAsia="黑体" w:cs="Times New Roman"/>
          <w:snapToGrid w:val="0"/>
          <w:color w:val="auto"/>
          <w:spacing w:val="4"/>
          <w:sz w:val="32"/>
          <w:szCs w:val="32"/>
        </w:rPr>
        <w:t>条</w:t>
      </w:r>
      <w:r>
        <w:rPr>
          <w:rFonts w:eastAsia="仿宋_GB2312" w:cs="Times New Roman" w:asciiTheme="minorHAnsi" w:hAnsiTheme="minorHAnsi"/>
          <w:snapToGrid w:val="0"/>
          <w:color w:val="auto"/>
          <w:spacing w:val="4"/>
          <w:kern w:val="2"/>
          <w:sz w:val="32"/>
          <w:szCs w:val="32"/>
        </w:rPr>
        <w:t>  </w:t>
      </w:r>
      <w:r>
        <w:rPr>
          <w:rFonts w:hint="eastAsia" w:eastAsia="仿宋_GB2312" w:cs="Times New Roman" w:asciiTheme="minorHAnsi" w:hAnsiTheme="minorHAnsi"/>
          <w:snapToGrid w:val="0"/>
          <w:spacing w:val="4"/>
          <w:kern w:val="2"/>
          <w:sz w:val="32"/>
          <w:szCs w:val="32"/>
        </w:rPr>
        <w:t xml:space="preserve"> </w:t>
      </w:r>
      <w:r>
        <w:rPr>
          <w:rFonts w:hint="eastAsia" w:eastAsia="仿宋_GB2312" w:cs="Times New Roman" w:asciiTheme="minorHAnsi" w:hAnsiTheme="minorHAnsi"/>
          <w:snapToGrid w:val="0"/>
          <w:color w:val="auto"/>
          <w:spacing w:val="4"/>
          <w:kern w:val="2"/>
          <w:sz w:val="32"/>
          <w:szCs w:val="32"/>
        </w:rPr>
        <w:t>有下列情形之一的，应当从轻或者减轻</w:t>
      </w:r>
      <w:r>
        <w:rPr>
          <w:rFonts w:hint="eastAsia" w:eastAsia="仿宋_GB2312" w:cs="Times New Roman" w:asciiTheme="minorHAnsi" w:hAnsiTheme="minorHAnsi"/>
          <w:snapToGrid w:val="0"/>
          <w:spacing w:val="4"/>
          <w:kern w:val="2"/>
          <w:sz w:val="32"/>
          <w:szCs w:val="32"/>
        </w:rPr>
        <w:t>行政</w:t>
      </w:r>
      <w:r>
        <w:rPr>
          <w:rFonts w:hint="eastAsia" w:eastAsia="仿宋_GB2312" w:cs="Times New Roman" w:asciiTheme="minorHAnsi" w:hAnsiTheme="minorHAnsi"/>
          <w:snapToGrid w:val="0"/>
          <w:color w:val="auto"/>
          <w:spacing w:val="4"/>
          <w:kern w:val="2"/>
          <w:sz w:val="32"/>
          <w:szCs w:val="32"/>
        </w:rPr>
        <w:t>处罚</w:t>
      </w:r>
      <w:r>
        <w:rPr>
          <w:rFonts w:hint="eastAsia" w:eastAsia="仿宋_GB2312" w:cs="Times New Roman" w:asciiTheme="minorHAnsi" w:hAnsiTheme="minorHAnsi"/>
          <w:snapToGrid w:val="0"/>
          <w:spacing w:val="4"/>
          <w:kern w:val="2"/>
          <w:sz w:val="32"/>
          <w:szCs w:val="32"/>
        </w:rPr>
        <w:t>:</w:t>
      </w:r>
    </w:p>
    <w:p>
      <w:pPr>
        <w:pStyle w:val="5"/>
        <w:widowControl w:val="0"/>
        <w:shd w:val="clear" w:color="auto" w:fill="FFFFFF"/>
        <w:spacing w:line="600" w:lineRule="exact"/>
        <w:ind w:firstLine="640"/>
        <w:jc w:val="both"/>
        <w:rPr>
          <w:rFonts w:eastAsia="仿宋_GB2312" w:cs="Times New Roman" w:asciiTheme="minorHAnsi" w:hAnsiTheme="minorHAnsi"/>
          <w:snapToGrid w:val="0"/>
          <w:color w:val="auto"/>
          <w:spacing w:val="4"/>
          <w:kern w:val="2"/>
          <w:sz w:val="32"/>
          <w:szCs w:val="32"/>
        </w:rPr>
      </w:pPr>
      <w:r>
        <w:rPr>
          <w:rFonts w:hint="eastAsia" w:eastAsia="仿宋_GB2312" w:cs="Times New Roman" w:asciiTheme="minorHAnsi" w:hAnsiTheme="minorHAnsi"/>
          <w:snapToGrid w:val="0"/>
          <w:color w:val="auto"/>
          <w:spacing w:val="4"/>
          <w:kern w:val="2"/>
          <w:sz w:val="32"/>
          <w:szCs w:val="32"/>
        </w:rPr>
        <w:t>（一）主动消除或者减轻违法行为危害后果的；</w:t>
      </w:r>
    </w:p>
    <w:p>
      <w:pPr>
        <w:pStyle w:val="5"/>
        <w:widowControl w:val="0"/>
        <w:shd w:val="clear" w:color="auto" w:fill="FFFFFF"/>
        <w:spacing w:line="600" w:lineRule="exact"/>
        <w:ind w:firstLine="640"/>
        <w:jc w:val="both"/>
        <w:rPr>
          <w:rFonts w:eastAsia="仿宋_GB2312" w:cs="Times New Roman" w:asciiTheme="minorHAnsi" w:hAnsiTheme="minorHAnsi"/>
          <w:snapToGrid w:val="0"/>
          <w:color w:val="auto"/>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二</w:t>
      </w:r>
      <w:r>
        <w:rPr>
          <w:rFonts w:hint="eastAsia" w:eastAsia="仿宋_GB2312" w:cs="Times New Roman" w:asciiTheme="minorHAnsi" w:hAnsiTheme="minorHAnsi"/>
          <w:snapToGrid w:val="0"/>
          <w:color w:val="auto"/>
          <w:spacing w:val="4"/>
          <w:kern w:val="2"/>
          <w:sz w:val="32"/>
          <w:szCs w:val="32"/>
        </w:rPr>
        <w:t>）受他人胁迫或者诱骗实施违法行为的；</w:t>
      </w:r>
    </w:p>
    <w:p>
      <w:pPr>
        <w:pStyle w:val="5"/>
        <w:widowControl w:val="0"/>
        <w:shd w:val="clear" w:color="auto" w:fill="FFFFFF"/>
        <w:spacing w:line="600" w:lineRule="exact"/>
        <w:ind w:firstLine="640"/>
        <w:jc w:val="both"/>
        <w:rPr>
          <w:rFonts w:eastAsia="仿宋_GB2312" w:cs="Times New Roman" w:asciiTheme="minorHAnsi" w:hAnsiTheme="minorHAnsi"/>
          <w:snapToGrid w:val="0"/>
          <w:color w:val="auto"/>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三</w:t>
      </w:r>
      <w:r>
        <w:rPr>
          <w:rFonts w:hint="eastAsia" w:eastAsia="仿宋_GB2312" w:cs="Times New Roman" w:asciiTheme="minorHAnsi" w:hAnsiTheme="minorHAnsi"/>
          <w:snapToGrid w:val="0"/>
          <w:color w:val="auto"/>
          <w:spacing w:val="4"/>
          <w:kern w:val="2"/>
          <w:sz w:val="32"/>
          <w:szCs w:val="32"/>
        </w:rPr>
        <w:t>）主动供述行政机关尚未掌握的违法行为的；</w:t>
      </w:r>
    </w:p>
    <w:p>
      <w:pPr>
        <w:pStyle w:val="5"/>
        <w:widowControl w:val="0"/>
        <w:shd w:val="clear" w:color="auto" w:fill="FFFFFF"/>
        <w:spacing w:line="600" w:lineRule="exact"/>
        <w:ind w:firstLine="640"/>
        <w:jc w:val="both"/>
        <w:rPr>
          <w:rFonts w:eastAsia="仿宋_GB2312" w:cs="Times New Roman" w:asciiTheme="minorHAnsi" w:hAnsiTheme="minorHAnsi"/>
          <w:snapToGrid w:val="0"/>
          <w:color w:val="auto"/>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四</w:t>
      </w:r>
      <w:r>
        <w:rPr>
          <w:rFonts w:hint="eastAsia" w:eastAsia="仿宋_GB2312" w:cs="Times New Roman" w:asciiTheme="minorHAnsi" w:hAnsiTheme="minorHAnsi"/>
          <w:snapToGrid w:val="0"/>
          <w:color w:val="auto"/>
          <w:spacing w:val="4"/>
          <w:kern w:val="2"/>
          <w:sz w:val="32"/>
          <w:szCs w:val="32"/>
        </w:rPr>
        <w:t>）配合行政机关查处违法行为有立功表现的；</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五</w:t>
      </w:r>
      <w:r>
        <w:rPr>
          <w:rFonts w:hint="eastAsia" w:eastAsia="仿宋_GB2312" w:cs="Times New Roman" w:asciiTheme="minorHAnsi" w:hAnsiTheme="minorHAnsi"/>
          <w:snapToGrid w:val="0"/>
          <w:color w:val="auto"/>
          <w:spacing w:val="4"/>
          <w:kern w:val="2"/>
          <w:sz w:val="32"/>
          <w:szCs w:val="32"/>
        </w:rPr>
        <w:t>）已满十四周岁不满十八周岁的未成年人有违法行为；</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color w:val="auto"/>
          <w:spacing w:val="4"/>
          <w:kern w:val="2"/>
          <w:sz w:val="32"/>
          <w:szCs w:val="32"/>
        </w:rPr>
        <w:t>（</w:t>
      </w:r>
      <w:r>
        <w:rPr>
          <w:rFonts w:hint="eastAsia" w:eastAsia="仿宋_GB2312" w:cs="Times New Roman" w:asciiTheme="minorHAnsi" w:hAnsiTheme="minorHAnsi"/>
          <w:snapToGrid w:val="0"/>
          <w:spacing w:val="4"/>
          <w:kern w:val="2"/>
          <w:sz w:val="32"/>
          <w:szCs w:val="32"/>
        </w:rPr>
        <w:t>六</w:t>
      </w:r>
      <w:r>
        <w:rPr>
          <w:rFonts w:hint="eastAsia" w:eastAsia="仿宋_GB2312" w:cs="Times New Roman" w:asciiTheme="minorHAnsi" w:hAnsiTheme="minorHAnsi"/>
          <w:snapToGrid w:val="0"/>
          <w:color w:val="auto"/>
          <w:spacing w:val="4"/>
          <w:kern w:val="2"/>
          <w:sz w:val="32"/>
          <w:szCs w:val="32"/>
        </w:rPr>
        <w:t>）法律、法规、规章规定的其他应当从轻或减轻处罚的情形。</w:t>
      </w:r>
    </w:p>
    <w:p>
      <w:pPr>
        <w:pStyle w:val="5"/>
        <w:widowControl w:val="0"/>
        <w:shd w:val="clear" w:color="auto" w:fill="FFFFFF"/>
        <w:spacing w:line="600" w:lineRule="exact"/>
        <w:ind w:firstLine="641"/>
        <w:jc w:val="both"/>
        <w:rPr>
          <w:rFonts w:eastAsia="仿宋_GB2312" w:cs="Times New Roman" w:asciiTheme="minorHAnsi" w:hAnsiTheme="minorHAnsi"/>
          <w:snapToGrid w:val="0"/>
          <w:spacing w:val="4"/>
          <w:kern w:val="2"/>
          <w:sz w:val="32"/>
          <w:szCs w:val="32"/>
        </w:rPr>
      </w:pPr>
      <w:r>
        <w:rPr>
          <w:rFonts w:hint="eastAsia" w:eastAsia="仿宋_GB2312" w:cs="Times New Roman" w:asciiTheme="minorHAnsi" w:hAnsiTheme="minorHAnsi"/>
          <w:snapToGrid w:val="0"/>
          <w:spacing w:val="4"/>
          <w:kern w:val="2"/>
          <w:sz w:val="32"/>
          <w:szCs w:val="32"/>
        </w:rPr>
        <w:t>尚未完全丧失辨认或者控制自己行为能力的精神病人、智力残疾人有违法行为的，可以从轻或者减轻行政处罚。</w:t>
      </w:r>
    </w:p>
    <w:p>
      <w:pPr>
        <w:spacing w:line="600" w:lineRule="exact"/>
        <w:ind w:firstLine="698" w:firstLineChars="213"/>
        <w:rPr>
          <w:rFonts w:ascii="宋体" w:hAnsi="宋体" w:eastAsia="仿宋_GB2312" w:cs="Times New Roman"/>
          <w:snapToGrid w:val="0"/>
          <w:spacing w:val="4"/>
          <w:sz w:val="32"/>
          <w:szCs w:val="32"/>
        </w:rPr>
      </w:pPr>
      <w:r>
        <w:rPr>
          <w:rFonts w:hint="eastAsia" w:ascii="黑体" w:hAnsi="黑体" w:eastAsia="黑体" w:cs="Times New Roman"/>
          <w:snapToGrid w:val="0"/>
          <w:spacing w:val="4"/>
          <w:kern w:val="0"/>
          <w:sz w:val="32"/>
          <w:szCs w:val="32"/>
        </w:rPr>
        <w:t>第</w:t>
      </w:r>
      <w:r>
        <w:rPr>
          <w:rFonts w:hint="eastAsia" w:ascii="黑体" w:hAnsi="黑体" w:eastAsia="黑体" w:cs="Times New Roman"/>
          <w:snapToGrid w:val="0"/>
          <w:spacing w:val="4"/>
          <w:sz w:val="32"/>
          <w:szCs w:val="32"/>
        </w:rPr>
        <w:t>九</w:t>
      </w:r>
      <w:r>
        <w:rPr>
          <w:rFonts w:hint="eastAsia" w:ascii="黑体" w:hAnsi="黑体" w:eastAsia="黑体" w:cs="Times New Roman"/>
          <w:snapToGrid w:val="0"/>
          <w:spacing w:val="4"/>
          <w:kern w:val="0"/>
          <w:sz w:val="32"/>
          <w:szCs w:val="32"/>
        </w:rPr>
        <w:t>条</w:t>
      </w:r>
      <w:r>
        <w:rPr>
          <w:rFonts w:ascii="黑体" w:hAnsi="黑体" w:eastAsia="黑体" w:cs="Times New Roman"/>
          <w:snapToGrid w:val="0"/>
          <w:spacing w:val="4"/>
          <w:kern w:val="0"/>
          <w:sz w:val="32"/>
          <w:szCs w:val="32"/>
        </w:rPr>
        <w:t xml:space="preserve"> </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有下列情形之一的，可以</w:t>
      </w:r>
      <w:bookmarkStart w:id="0" w:name="_GoBack"/>
      <w:r>
        <w:rPr>
          <w:rFonts w:hint="eastAsia" w:ascii="宋体" w:hAnsi="宋体" w:eastAsia="仿宋_GB2312" w:cs="Times New Roman"/>
          <w:snapToGrid w:val="0"/>
          <w:color w:val="000000" w:themeColor="text1"/>
          <w:spacing w:val="4"/>
          <w:kern w:val="0"/>
          <w:sz w:val="32"/>
          <w:szCs w:val="32"/>
          <w14:textFill>
            <w14:solidFill>
              <w14:schemeClr w14:val="tx1"/>
            </w14:solidFill>
          </w14:textFill>
        </w:rPr>
        <w:t>从轻行政处</w:t>
      </w:r>
      <w:bookmarkEnd w:id="0"/>
      <w:r>
        <w:rPr>
          <w:rFonts w:hint="eastAsia" w:ascii="宋体" w:hAnsi="宋体" w:eastAsia="仿宋_GB2312" w:cs="Times New Roman"/>
          <w:snapToGrid w:val="0"/>
          <w:spacing w:val="4"/>
          <w:kern w:val="0"/>
          <w:sz w:val="32"/>
          <w:szCs w:val="32"/>
        </w:rPr>
        <w:t>罚：</w:t>
      </w:r>
    </w:p>
    <w:p>
      <w:pPr>
        <w:spacing w:line="600" w:lineRule="exact"/>
        <w:ind w:firstLine="534" w:firstLineChars="163"/>
        <w:rPr>
          <w:rFonts w:ascii="宋体" w:hAnsi="宋体" w:eastAsia="仿宋_GB2312" w:cs="Times New Roman"/>
          <w:snapToGrid w:val="0"/>
          <w:spacing w:val="4"/>
          <w:sz w:val="32"/>
          <w:szCs w:val="32"/>
        </w:rPr>
      </w:pPr>
      <w:r>
        <w:rPr>
          <w:rFonts w:hint="eastAsia" w:ascii="宋体" w:hAnsi="宋体" w:eastAsia="仿宋_GB2312" w:cs="Times New Roman"/>
          <w:snapToGrid w:val="0"/>
          <w:spacing w:val="4"/>
          <w:kern w:val="0"/>
          <w:sz w:val="32"/>
          <w:szCs w:val="32"/>
        </w:rPr>
        <w:t>（一）在共同违法行为中起次要或者辅助作用的；</w:t>
      </w:r>
    </w:p>
    <w:p>
      <w:pPr>
        <w:spacing w:line="600" w:lineRule="exact"/>
        <w:ind w:firstLine="534" w:firstLineChars="163"/>
        <w:rPr>
          <w:rFonts w:ascii="宋体" w:hAnsi="宋体" w:eastAsia="仿宋_GB2312" w:cs="Times New Roman"/>
          <w:snapToGrid w:val="0"/>
          <w:spacing w:val="4"/>
          <w:sz w:val="32"/>
          <w:szCs w:val="32"/>
        </w:rPr>
      </w:pPr>
      <w:r>
        <w:rPr>
          <w:rFonts w:hint="eastAsia" w:ascii="宋体" w:hAnsi="宋体" w:eastAsia="仿宋_GB2312" w:cs="Times New Roman"/>
          <w:snapToGrid w:val="0"/>
          <w:spacing w:val="4"/>
          <w:kern w:val="0"/>
          <w:sz w:val="32"/>
          <w:szCs w:val="32"/>
        </w:rPr>
        <w:t>（二）如实供述违法行为，据实</w:t>
      </w:r>
      <w:r>
        <w:rPr>
          <w:rFonts w:hint="eastAsia" w:ascii="宋体" w:hAnsi="宋体" w:eastAsia="仿宋_GB2312" w:cs="Times New Roman"/>
          <w:snapToGrid w:val="0"/>
          <w:spacing w:val="4"/>
          <w:kern w:val="0"/>
          <w:sz w:val="32"/>
          <w:szCs w:val="32"/>
          <w:highlight w:val="none"/>
        </w:rPr>
        <w:t>提供有关证据，积极</w:t>
      </w:r>
      <w:r>
        <w:rPr>
          <w:rFonts w:hint="eastAsia" w:ascii="宋体" w:hAnsi="宋体" w:eastAsia="仿宋_GB2312" w:cs="Times New Roman"/>
          <w:snapToGrid w:val="0"/>
          <w:spacing w:val="4"/>
          <w:kern w:val="0"/>
          <w:sz w:val="32"/>
          <w:szCs w:val="32"/>
        </w:rPr>
        <w:t>配合案件调查的；</w:t>
      </w:r>
    </w:p>
    <w:p>
      <w:pPr>
        <w:spacing w:line="600" w:lineRule="exact"/>
        <w:ind w:firstLine="534" w:firstLineChars="163"/>
        <w:rPr>
          <w:rFonts w:ascii="宋体" w:hAnsi="宋体" w:eastAsia="仿宋_GB2312" w:cs="Times New Roman"/>
          <w:snapToGrid w:val="0"/>
          <w:spacing w:val="4"/>
          <w:sz w:val="32"/>
          <w:szCs w:val="32"/>
        </w:rPr>
      </w:pPr>
      <w:r>
        <w:rPr>
          <w:rFonts w:hint="eastAsia" w:ascii="宋体" w:hAnsi="宋体" w:eastAsia="仿宋_GB2312" w:cs="Times New Roman"/>
          <w:snapToGrid w:val="0"/>
          <w:spacing w:val="4"/>
          <w:kern w:val="0"/>
          <w:sz w:val="32"/>
          <w:szCs w:val="32"/>
        </w:rPr>
        <w:t>（三）当事人属于盲、聋、哑等残障人士</w:t>
      </w:r>
      <w:r>
        <w:rPr>
          <w:rFonts w:hint="eastAsia" w:ascii="宋体" w:hAnsi="宋体" w:eastAsia="仿宋_GB2312" w:cs="Times New Roman"/>
          <w:snapToGrid w:val="0"/>
          <w:spacing w:val="4"/>
          <w:kern w:val="0"/>
          <w:sz w:val="32"/>
          <w:szCs w:val="32"/>
          <w:highlight w:val="none"/>
        </w:rPr>
        <w:t>或年满七十周岁</w:t>
      </w:r>
      <w:r>
        <w:rPr>
          <w:rFonts w:hint="eastAsia" w:ascii="宋体" w:hAnsi="宋体" w:eastAsia="仿宋_GB2312" w:cs="Times New Roman"/>
          <w:snapToGrid w:val="0"/>
          <w:spacing w:val="4"/>
          <w:kern w:val="0"/>
          <w:sz w:val="32"/>
          <w:szCs w:val="32"/>
        </w:rPr>
        <w:t>的；</w:t>
      </w:r>
    </w:p>
    <w:p>
      <w:pPr>
        <w:spacing w:line="600" w:lineRule="exact"/>
        <w:ind w:firstLine="534" w:firstLineChars="163"/>
        <w:rPr>
          <w:rFonts w:eastAsia="仿宋_GB2312" w:cs="Times New Roman"/>
          <w:snapToGrid w:val="0"/>
          <w:spacing w:val="4"/>
          <w:sz w:val="32"/>
          <w:szCs w:val="32"/>
        </w:rPr>
      </w:pPr>
      <w:r>
        <w:rPr>
          <w:rFonts w:hint="eastAsia" w:ascii="宋体" w:hAnsi="宋体" w:eastAsia="仿宋_GB2312" w:cs="Times New Roman"/>
          <w:snapToGrid w:val="0"/>
          <w:spacing w:val="4"/>
          <w:kern w:val="0"/>
          <w:sz w:val="32"/>
          <w:szCs w:val="32"/>
        </w:rPr>
        <w:t>（四）涉案产品尚未经营、销售、使用的；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（五）违法行为持续时间较短的；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（六）涉案财物数量、销量或者违法所得较少、危害后果较轻的。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 xml:space="preserve">第十条  </w:t>
      </w:r>
      <w:r>
        <w:rPr>
          <w:rFonts w:hint="eastAsia" w:ascii="宋体" w:hAnsi="宋体" w:eastAsia="仿宋_GB2312" w:cs="Times New Roman"/>
          <w:snapToGrid w:val="0"/>
          <w:spacing w:val="4"/>
          <w:kern w:val="0"/>
          <w:sz w:val="32"/>
          <w:szCs w:val="32"/>
        </w:rPr>
        <w:t>有下列情形之一的，可以从重行政处罚：</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（一）严重危害群众生命健康或公共卫生安全的；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（二）扰乱医疗卫生管理秩序，造成较大社会安全隐患的；</w:t>
      </w:r>
    </w:p>
    <w:p>
      <w:pPr>
        <w:spacing w:line="600" w:lineRule="exact"/>
        <w:ind w:firstLine="534" w:firstLineChars="163"/>
        <w:rPr>
          <w:rFonts w:ascii="宋体" w:hAnsi="宋体" w:eastAsia="仿宋_GB2312"/>
          <w:sz w:val="32"/>
          <w:szCs w:val="32"/>
        </w:rPr>
      </w:pPr>
      <w:r>
        <w:rPr>
          <w:rFonts w:hint="eastAsia" w:ascii="宋体" w:hAnsi="宋体" w:eastAsia="仿宋_GB2312" w:cs="Times New Roman"/>
          <w:snapToGrid w:val="0"/>
          <w:spacing w:val="4"/>
          <w:kern w:val="0"/>
          <w:sz w:val="32"/>
          <w:szCs w:val="32"/>
        </w:rPr>
        <w:t>（三）在发生自然灾害、事故灾难、公共卫生或者社会安全等突发事件期间，</w:t>
      </w:r>
      <w:r>
        <w:rPr>
          <w:rFonts w:hint="eastAsia" w:ascii="宋体" w:hAnsi="宋体" w:eastAsia="仿宋_GB2312"/>
          <w:sz w:val="32"/>
          <w:szCs w:val="32"/>
        </w:rPr>
        <w:t>违反突发事件应对措施的。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（四）违法行为情节恶劣，危害后果较重的；</w:t>
      </w:r>
    </w:p>
    <w:p>
      <w:pPr>
        <w:spacing w:line="600" w:lineRule="exact"/>
        <w:ind w:firstLine="492" w:firstLineChars="15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（五）拒不改正违法行为的；</w:t>
      </w:r>
    </w:p>
    <w:p>
      <w:pPr>
        <w:spacing w:line="600" w:lineRule="exact"/>
        <w:ind w:firstLine="492" w:firstLineChars="15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（六）在共同实施违法行为中起主要作用或者教唆、胁迫、诱骗他人实施违法行为的；</w:t>
      </w:r>
    </w:p>
    <w:p>
      <w:pPr>
        <w:spacing w:line="600" w:lineRule="exact"/>
        <w:ind w:firstLine="534" w:firstLineChars="163"/>
        <w:rPr>
          <w:rFonts w:ascii="宋体" w:hAnsi="宋体" w:eastAsia="仿宋_GB2312" w:cs="Times New Roman"/>
          <w:snapToGrid w:val="0"/>
          <w:spacing w:val="4"/>
          <w:kern w:val="0"/>
          <w:sz w:val="32"/>
          <w:szCs w:val="32"/>
          <w:highlight w:val="none"/>
        </w:rPr>
      </w:pPr>
      <w:r>
        <w:rPr>
          <w:rFonts w:hint="eastAsia" w:ascii="宋体" w:hAnsi="宋体" w:eastAsia="仿宋_GB2312" w:cs="Times New Roman"/>
          <w:snapToGrid w:val="0"/>
          <w:spacing w:val="4"/>
          <w:kern w:val="0"/>
          <w:sz w:val="32"/>
          <w:szCs w:val="32"/>
        </w:rPr>
        <w:t>（七）违法行为持续时间较长</w:t>
      </w:r>
      <w:r>
        <w:rPr>
          <w:rFonts w:hint="eastAsia" w:ascii="宋体" w:hAnsi="宋体" w:eastAsia="仿宋_GB2312" w:cs="Times New Roman"/>
          <w:snapToGrid w:val="0"/>
          <w:spacing w:val="4"/>
          <w:kern w:val="0"/>
          <w:sz w:val="32"/>
          <w:szCs w:val="32"/>
          <w:highlight w:val="none"/>
        </w:rPr>
        <w:t>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highlight w:val="none"/>
        </w:rPr>
        <w:t>（</w:t>
      </w:r>
      <w:r>
        <w:rPr>
          <w:rFonts w:hint="eastAsia" w:ascii="宋体" w:hAnsi="宋体" w:eastAsia="仿宋_GB2312" w:cs="Times New Roman"/>
          <w:snapToGrid w:val="0"/>
          <w:spacing w:val="4"/>
          <w:kern w:val="0"/>
          <w:sz w:val="32"/>
          <w:szCs w:val="32"/>
        </w:rPr>
        <w:t>八</w:t>
      </w:r>
      <w:r>
        <w:rPr>
          <w:rFonts w:hint="eastAsia" w:ascii="宋体" w:hAnsi="宋体" w:eastAsia="仿宋_GB2312" w:cs="Times New Roman"/>
          <w:snapToGrid w:val="0"/>
          <w:spacing w:val="4"/>
          <w:kern w:val="0"/>
          <w:sz w:val="32"/>
          <w:szCs w:val="32"/>
          <w:highlight w:val="none"/>
        </w:rPr>
        <w:t>）</w:t>
      </w:r>
      <w:r>
        <w:rPr>
          <w:rFonts w:hint="eastAsia" w:ascii="宋体" w:hAnsi="宋体" w:eastAsia="仿宋_GB2312" w:cs="Times New Roman"/>
          <w:snapToGrid w:val="0"/>
          <w:spacing w:val="4"/>
          <w:kern w:val="0"/>
          <w:sz w:val="32"/>
          <w:szCs w:val="32"/>
        </w:rPr>
        <w:t>涉案财物数量、销量或违法所得较多、危害后果较重的；</w:t>
      </w:r>
    </w:p>
    <w:p>
      <w:pPr>
        <w:spacing w:line="600" w:lineRule="exact"/>
        <w:ind w:firstLine="547" w:firstLineChars="167"/>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（九）伪造、损毁、销毁、转移、藏匿违法行为证据或</w:t>
      </w:r>
      <w:r>
        <w:rPr>
          <w:rFonts w:hint="eastAsia" w:ascii="宋体" w:hAnsi="宋体" w:eastAsia="仿宋_GB2312" w:cs="Times New Roman"/>
          <w:snapToGrid w:val="0"/>
          <w:color w:val="auto"/>
          <w:spacing w:val="4"/>
          <w:kern w:val="0"/>
          <w:sz w:val="32"/>
          <w:szCs w:val="32"/>
          <w:shd w:val="clear" w:color="auto" w:fill="auto"/>
        </w:rPr>
        <w:t>无</w:t>
      </w:r>
      <w:r>
        <w:rPr>
          <w:rFonts w:hint="eastAsia" w:ascii="宋体" w:hAnsi="宋体" w:eastAsia="仿宋_GB2312" w:cs="Times New Roman"/>
          <w:snapToGrid w:val="0"/>
          <w:spacing w:val="4"/>
          <w:kern w:val="0"/>
          <w:sz w:val="32"/>
          <w:szCs w:val="32"/>
        </w:rPr>
        <w:t>正当理由</w:t>
      </w:r>
      <w:r>
        <w:rPr>
          <w:rFonts w:hint="eastAsia" w:ascii="宋体" w:hAnsi="宋体" w:eastAsia="仿宋_GB2312" w:cs="Times New Roman"/>
          <w:snapToGrid w:val="0"/>
          <w:color w:val="auto"/>
          <w:spacing w:val="4"/>
          <w:kern w:val="0"/>
          <w:sz w:val="32"/>
          <w:szCs w:val="32"/>
          <w:shd w:val="clear" w:color="auto" w:fill="auto"/>
        </w:rPr>
        <w:t>拒绝、拖延提供证据</w:t>
      </w:r>
      <w:r>
        <w:rPr>
          <w:rFonts w:hint="eastAsia" w:ascii="宋体" w:hAnsi="宋体" w:eastAsia="仿宋_GB2312" w:cs="Times New Roman"/>
          <w:snapToGrid w:val="0"/>
          <w:spacing w:val="4"/>
          <w:kern w:val="0"/>
          <w:sz w:val="32"/>
          <w:szCs w:val="32"/>
        </w:rPr>
        <w:t>的；</w:t>
      </w:r>
    </w:p>
    <w:p>
      <w:pPr>
        <w:spacing w:line="600" w:lineRule="exact"/>
        <w:ind w:firstLine="534" w:firstLineChars="163"/>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（十）恐吓或打击报复执法人员、报案人、控告人、举报人、证人、鉴定人的；</w:t>
      </w:r>
    </w:p>
    <w:p>
      <w:pPr>
        <w:spacing w:line="600" w:lineRule="exact"/>
        <w:ind w:firstLine="534" w:firstLineChars="163"/>
        <w:rPr>
          <w:rFonts w:eastAsia="仿宋_GB2312" w:cs="Times New Roman"/>
          <w:snapToGrid w:val="0"/>
          <w:spacing w:val="4"/>
          <w:sz w:val="32"/>
          <w:szCs w:val="32"/>
        </w:rPr>
      </w:pPr>
      <w:r>
        <w:rPr>
          <w:rFonts w:hint="eastAsia" w:ascii="宋体" w:hAnsi="宋体" w:eastAsia="仿宋_GB2312" w:cs="Times New Roman"/>
          <w:snapToGrid w:val="0"/>
          <w:spacing w:val="4"/>
          <w:kern w:val="0"/>
          <w:sz w:val="32"/>
          <w:szCs w:val="32"/>
        </w:rPr>
        <w:t>（十一）拒不配合案件调查或</w:t>
      </w:r>
      <w:r>
        <w:rPr>
          <w:rFonts w:hint="eastAsia" w:ascii="宋体" w:hAnsi="宋体" w:eastAsia="仿宋_GB2312" w:cs="Times New Roman"/>
          <w:snapToGrid w:val="0"/>
          <w:color w:val="000000"/>
          <w:spacing w:val="4"/>
          <w:kern w:val="0"/>
          <w:sz w:val="32"/>
          <w:szCs w:val="32"/>
        </w:rPr>
        <w:t>妨碍卫生健康行政执法人员查处违法行为的</w:t>
      </w:r>
      <w:r>
        <w:rPr>
          <w:rFonts w:hint="eastAsia" w:ascii="宋体" w:hAnsi="宋体" w:eastAsia="仿宋_GB2312" w:cs="Times New Roman"/>
          <w:snapToGrid w:val="0"/>
          <w:spacing w:val="4"/>
          <w:kern w:val="0"/>
          <w:sz w:val="32"/>
          <w:szCs w:val="32"/>
        </w:rPr>
        <w:t>。</w:t>
      </w:r>
    </w:p>
    <w:p>
      <w:pPr>
        <w:pStyle w:val="5"/>
        <w:shd w:val="clear" w:color="auto" w:fill="FFFFFF"/>
        <w:spacing w:line="600" w:lineRule="exact"/>
        <w:ind w:firstLine="640"/>
        <w:jc w:val="both"/>
        <w:rPr>
          <w:rFonts w:ascii="宋体" w:hAnsi="宋体" w:eastAsia="仿宋_GB2312" w:cs="Times New Roman"/>
          <w:snapToGrid w:val="0"/>
          <w:color w:val="auto"/>
          <w:spacing w:val="4"/>
          <w:sz w:val="32"/>
          <w:szCs w:val="32"/>
        </w:rPr>
      </w:pPr>
      <w:r>
        <w:rPr>
          <w:rFonts w:hint="eastAsia" w:ascii="黑体" w:hAnsi="黑体" w:eastAsia="黑体" w:cs="Times New Roman"/>
          <w:snapToGrid w:val="0"/>
          <w:spacing w:val="4"/>
          <w:sz w:val="32"/>
          <w:szCs w:val="32"/>
        </w:rPr>
        <w:t>第十一条</w:t>
      </w:r>
      <w:r>
        <w:rPr>
          <w:rFonts w:hint="eastAsia" w:eastAsia="仿宋_GB2312" w:cs="Times New Roman"/>
          <w:snapToGrid w:val="0"/>
          <w:spacing w:val="4"/>
          <w:sz w:val="32"/>
          <w:szCs w:val="32"/>
        </w:rPr>
        <w:t xml:space="preserve">  </w:t>
      </w:r>
      <w:r>
        <w:rPr>
          <w:rFonts w:hint="eastAsia" w:ascii="宋体" w:hAnsi="宋体" w:eastAsia="仿宋_GB2312" w:cs="Times New Roman"/>
          <w:snapToGrid w:val="0"/>
          <w:color w:val="auto"/>
          <w:spacing w:val="4"/>
          <w:sz w:val="32"/>
          <w:szCs w:val="32"/>
        </w:rPr>
        <w:t>本规则规定的减轻、从轻、从重情形，《指导标准》已将其作为</w:t>
      </w:r>
      <w:r>
        <w:rPr>
          <w:rFonts w:hint="eastAsia" w:eastAsia="仿宋_GB2312" w:cs="Times New Roman"/>
          <w:snapToGrid w:val="0"/>
          <w:spacing w:val="4"/>
          <w:sz w:val="32"/>
          <w:szCs w:val="32"/>
        </w:rPr>
        <w:t>处罚</w:t>
      </w:r>
      <w:r>
        <w:rPr>
          <w:rFonts w:hint="eastAsia" w:ascii="宋体" w:hAnsi="宋体" w:eastAsia="仿宋_GB2312" w:cs="Times New Roman"/>
          <w:snapToGrid w:val="0"/>
          <w:color w:val="auto"/>
          <w:spacing w:val="4"/>
          <w:sz w:val="32"/>
          <w:szCs w:val="32"/>
        </w:rPr>
        <w:t>裁量</w:t>
      </w:r>
      <w:r>
        <w:rPr>
          <w:rFonts w:hint="eastAsia" w:eastAsia="仿宋_GB2312" w:cs="Times New Roman"/>
          <w:snapToGrid w:val="0"/>
          <w:spacing w:val="4"/>
          <w:sz w:val="32"/>
          <w:szCs w:val="32"/>
        </w:rPr>
        <w:t>情形</w:t>
      </w:r>
      <w:r>
        <w:rPr>
          <w:rFonts w:hint="eastAsia" w:ascii="宋体" w:hAnsi="宋体" w:eastAsia="仿宋_GB2312" w:cs="Times New Roman"/>
          <w:snapToGrid w:val="0"/>
          <w:color w:val="auto"/>
          <w:spacing w:val="4"/>
          <w:sz w:val="32"/>
          <w:szCs w:val="32"/>
        </w:rPr>
        <w:t>予以规定的，不得重复适用。</w:t>
      </w:r>
    </w:p>
    <w:p>
      <w:pPr>
        <w:spacing w:line="600" w:lineRule="exact"/>
        <w:ind w:firstLine="0" w:firstLineChars="0"/>
        <w:rPr>
          <w:rFonts w:ascii="宋体" w:hAnsi="宋体" w:eastAsia="仿宋_GB2312" w:cs="Times New Roman"/>
          <w:snapToGrid w:val="0"/>
          <w:spacing w:val="4"/>
          <w:kern w:val="0"/>
          <w:sz w:val="32"/>
          <w:szCs w:val="32"/>
        </w:rPr>
      </w:pPr>
      <w:r>
        <w:rPr>
          <w:rFonts w:ascii="宋体" w:hAnsi="宋体" w:eastAsia="仿宋_GB2312" w:cs="Times New Roman"/>
          <w:b/>
          <w:snapToGrid w:val="0"/>
          <w:spacing w:val="4"/>
          <w:kern w:val="0"/>
          <w:sz w:val="32"/>
          <w:szCs w:val="32"/>
        </w:rPr>
        <w:t xml:space="preserve">    </w:t>
      </w:r>
      <w:r>
        <w:rPr>
          <w:rFonts w:hint="eastAsia" w:ascii="黑体" w:hAnsi="黑体" w:eastAsia="黑体" w:cs="Times New Roman"/>
          <w:snapToGrid w:val="0"/>
          <w:spacing w:val="4"/>
          <w:kern w:val="0"/>
          <w:sz w:val="32"/>
          <w:szCs w:val="32"/>
        </w:rPr>
        <w:t>第十二条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行政处罚的合法裁量，以准确适用法律为前提。实施行政处罚，必须以法律、法规和规章为依据。上位法与下位法之间有不同规定的，适用上位法；上位法有原则性规定，下位法有具体规定，且不违反上位法、不与上位法相抵触的，应当适用下位法；同一机关制定的</w:t>
      </w:r>
      <w:r>
        <w:rPr>
          <w:rFonts w:hint="eastAsia" w:ascii="宋体" w:hAnsi="宋体" w:eastAsia="仿宋_GB2312" w:cs="Times New Roman"/>
          <w:snapToGrid w:val="0"/>
          <w:spacing w:val="4"/>
          <w:kern w:val="0"/>
          <w:sz w:val="32"/>
          <w:szCs w:val="32"/>
          <w:highlight w:val="none"/>
        </w:rPr>
        <w:t>法律、法规、规章，特别规定与一般规定不一致的，适用特别规定，新的规定与旧的规定不一致的，适用新的规定。</w:t>
      </w:r>
    </w:p>
    <w:p>
      <w:pPr>
        <w:spacing w:line="600" w:lineRule="exact"/>
        <w:ind w:firstLine="66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其它规范性文件可以用于具体执法中对法律法规条文含义的理解以及实施行政处罚的理由阐释，但不得单独援引作为实施行政处罚的适用依据。</w:t>
      </w:r>
    </w:p>
    <w:p>
      <w:pPr>
        <w:spacing w:line="600" w:lineRule="exact"/>
        <w:ind w:firstLine="0" w:firstLineChars="0"/>
        <w:rPr>
          <w:rFonts w:ascii="宋体" w:hAnsi="宋体" w:eastAsia="仿宋_GB2312" w:cs="Times New Roman"/>
          <w:snapToGrid w:val="0"/>
          <w:spacing w:val="4"/>
          <w:kern w:val="0"/>
          <w:sz w:val="32"/>
          <w:szCs w:val="32"/>
        </w:rPr>
      </w:pPr>
      <w:r>
        <w:rPr>
          <w:rFonts w:ascii="宋体" w:hAnsi="宋体" w:eastAsia="仿宋_GB2312" w:cs="Times New Roman"/>
          <w:snapToGrid w:val="0"/>
          <w:spacing w:val="4"/>
          <w:kern w:val="0"/>
          <w:sz w:val="32"/>
          <w:szCs w:val="32"/>
        </w:rPr>
        <w:t xml:space="preserve">    </w:t>
      </w:r>
      <w:r>
        <w:rPr>
          <w:rFonts w:hint="eastAsia" w:ascii="黑体" w:hAnsi="黑体" w:eastAsia="黑体" w:cs="Times New Roman"/>
          <w:snapToGrid w:val="0"/>
          <w:spacing w:val="4"/>
          <w:kern w:val="0"/>
          <w:sz w:val="32"/>
          <w:szCs w:val="32"/>
        </w:rPr>
        <w:t>第十三条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对于《指导标准》中未涉及的违法行为的罚款数额的裁量，一般按照以下标准确定罚款数额：</w:t>
      </w:r>
    </w:p>
    <w:p>
      <w:pPr>
        <w:spacing w:line="600" w:lineRule="exact"/>
        <w:ind w:firstLine="492" w:firstLineChars="150"/>
        <w:rPr>
          <w:rFonts w:ascii="宋体" w:hAnsi="宋体" w:eastAsia="仿宋_GB2312" w:cs="Times New Roman"/>
          <w:snapToGrid w:val="0"/>
          <w:spacing w:val="4"/>
          <w:kern w:val="0"/>
          <w:sz w:val="32"/>
          <w:szCs w:val="32"/>
        </w:rPr>
      </w:pP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（一）只规定法定罚款上限（以</w:t>
      </w:r>
      <w:r>
        <w:rPr>
          <w:rFonts w:ascii="宋体" w:hAnsi="宋体" w:eastAsia="仿宋_GB2312" w:cs="Times New Roman"/>
          <w:snapToGrid w:val="0"/>
          <w:spacing w:val="4"/>
          <w:kern w:val="0"/>
          <w:sz w:val="32"/>
          <w:szCs w:val="32"/>
        </w:rPr>
        <w:t xml:space="preserve"> A</w:t>
      </w:r>
      <w:r>
        <w:rPr>
          <w:rFonts w:hint="eastAsia" w:ascii="宋体" w:hAnsi="宋体" w:eastAsia="仿宋_GB2312" w:cs="Times New Roman"/>
          <w:snapToGrid w:val="0"/>
          <w:spacing w:val="4"/>
          <w:kern w:val="0"/>
          <w:sz w:val="32"/>
          <w:szCs w:val="32"/>
        </w:rPr>
        <w:t>表示），未规定法定罚款下限的，对轻微违法行为在法定罚款上限的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幅度内确定【轻微档次：罚款≤</w:t>
      </w:r>
      <w:r>
        <w:rPr>
          <w:rFonts w:ascii="宋体" w:hAnsi="宋体" w:eastAsia="仿宋_GB2312" w:cs="Times New Roman"/>
          <w:snapToGrid w:val="0"/>
          <w:spacing w:val="4"/>
          <w:kern w:val="0"/>
          <w:sz w:val="32"/>
          <w:szCs w:val="32"/>
        </w:rPr>
        <w:t>A</w:t>
      </w:r>
      <w:r>
        <w:rPr>
          <w:rFonts w:hint="eastAsia" w:ascii="宋体" w:hAnsi="宋体" w:eastAsia="宋体" w:cs="Times New Roman"/>
          <w:snapToGrid w:val="0"/>
          <w:spacing w:val="4"/>
          <w:kern w:val="0"/>
          <w:sz w:val="32"/>
          <w:szCs w:val="32"/>
        </w:rPr>
        <w:t>×</w:t>
      </w:r>
      <w:r>
        <w:rPr>
          <w:rFonts w:ascii="宋体" w:hAnsi="宋体" w:eastAsia="宋体" w:cs="Times New Roman"/>
          <w:snapToGrid w:val="0"/>
          <w:spacing w:val="4"/>
          <w:kern w:val="0"/>
          <w:sz w:val="32"/>
          <w:szCs w:val="32"/>
        </w:rPr>
        <w:t>30</w:t>
      </w:r>
      <w:r>
        <w:rPr>
          <w:rFonts w:ascii="宋体" w:hAnsi="宋体" w:eastAsia="仿宋_GB2312" w:cs="Times New Roman"/>
          <w:snapToGrid w:val="0"/>
          <w:spacing w:val="4"/>
          <w:kern w:val="0"/>
          <w:sz w:val="32"/>
          <w:szCs w:val="32"/>
        </w:rPr>
        <w:t>%</w:t>
      </w:r>
      <w:r>
        <w:rPr>
          <w:rFonts w:hint="eastAsia" w:ascii="宋体" w:hAnsi="宋体" w:eastAsia="仿宋_GB2312" w:cs="Times New Roman"/>
          <w:snapToGrid w:val="0"/>
          <w:spacing w:val="4"/>
          <w:kern w:val="0"/>
          <w:sz w:val="32"/>
          <w:szCs w:val="32"/>
        </w:rPr>
        <w:t>】；对一般违法行为在法定罚款上限的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至</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幅度之间确定【一般档次：</w:t>
      </w:r>
      <w:r>
        <w:rPr>
          <w:rFonts w:ascii="宋体" w:hAnsi="宋体" w:eastAsia="仿宋_GB2312" w:cs="Times New Roman"/>
          <w:snapToGrid w:val="0"/>
          <w:spacing w:val="4"/>
          <w:kern w:val="0"/>
          <w:sz w:val="32"/>
          <w:szCs w:val="32"/>
        </w:rPr>
        <w:t>A</w:t>
      </w:r>
      <w:r>
        <w:rPr>
          <w:rFonts w:hint="eastAsia" w:ascii="宋体" w:hAnsi="宋体" w:eastAsia="宋体" w:cs="Times New Roman"/>
          <w:snapToGrid w:val="0"/>
          <w:spacing w:val="4"/>
          <w:kern w:val="0"/>
          <w:sz w:val="32"/>
          <w:szCs w:val="32"/>
        </w:rPr>
        <w:t>×</w:t>
      </w:r>
      <w:r>
        <w:rPr>
          <w:rFonts w:ascii="宋体" w:hAnsi="宋体" w:eastAsia="宋体" w:cs="Times New Roman"/>
          <w:snapToGrid w:val="0"/>
          <w:spacing w:val="4"/>
          <w:kern w:val="0"/>
          <w:sz w:val="32"/>
          <w:szCs w:val="32"/>
        </w:rPr>
        <w:t>30</w:t>
      </w:r>
      <w:r>
        <w:rPr>
          <w:rFonts w:ascii="宋体" w:hAnsi="宋体" w:eastAsia="仿宋_GB2312" w:cs="Times New Roman"/>
          <w:snapToGrid w:val="0"/>
          <w:spacing w:val="4"/>
          <w:kern w:val="0"/>
          <w:sz w:val="32"/>
          <w:szCs w:val="32"/>
        </w:rPr>
        <w:t>% &lt;</w:t>
      </w:r>
      <w:r>
        <w:rPr>
          <w:rFonts w:hint="eastAsia" w:ascii="宋体" w:hAnsi="宋体" w:eastAsia="仿宋_GB2312" w:cs="Times New Roman"/>
          <w:snapToGrid w:val="0"/>
          <w:spacing w:val="4"/>
          <w:kern w:val="0"/>
          <w:sz w:val="32"/>
          <w:szCs w:val="32"/>
        </w:rPr>
        <w:t>罚款≤</w:t>
      </w:r>
      <w:r>
        <w:rPr>
          <w:rFonts w:ascii="宋体" w:hAnsi="宋体" w:eastAsia="仿宋_GB2312" w:cs="Times New Roman"/>
          <w:snapToGrid w:val="0"/>
          <w:spacing w:val="4"/>
          <w:kern w:val="0"/>
          <w:sz w:val="32"/>
          <w:szCs w:val="32"/>
        </w:rPr>
        <w:t>A</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】；对严重违法行为在法定罚款上限的</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以上确定【严重档次：</w:t>
      </w:r>
      <w:r>
        <w:rPr>
          <w:rFonts w:ascii="宋体" w:hAnsi="宋体" w:eastAsia="仿宋_GB2312" w:cs="Times New Roman"/>
          <w:snapToGrid w:val="0"/>
          <w:spacing w:val="4"/>
          <w:kern w:val="0"/>
          <w:sz w:val="32"/>
          <w:szCs w:val="32"/>
        </w:rPr>
        <w:t>A</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 &lt;</w:t>
      </w:r>
      <w:r>
        <w:rPr>
          <w:rFonts w:hint="eastAsia" w:ascii="宋体" w:hAnsi="宋体" w:eastAsia="仿宋_GB2312" w:cs="Times New Roman"/>
          <w:snapToGrid w:val="0"/>
          <w:spacing w:val="4"/>
          <w:kern w:val="0"/>
          <w:sz w:val="32"/>
          <w:szCs w:val="32"/>
        </w:rPr>
        <w:t>罚款≤</w:t>
      </w:r>
      <w:r>
        <w:rPr>
          <w:rFonts w:ascii="宋体" w:hAnsi="宋体" w:eastAsia="仿宋_GB2312" w:cs="Times New Roman"/>
          <w:snapToGrid w:val="0"/>
          <w:spacing w:val="4"/>
          <w:kern w:val="0"/>
          <w:sz w:val="32"/>
          <w:szCs w:val="32"/>
        </w:rPr>
        <w:t>A</w:t>
      </w:r>
      <w:r>
        <w:rPr>
          <w:rFonts w:hint="eastAsia" w:ascii="宋体" w:hAnsi="宋体" w:eastAsia="仿宋_GB2312" w:cs="Times New Roman"/>
          <w:snapToGrid w:val="0"/>
          <w:spacing w:val="4"/>
          <w:kern w:val="0"/>
          <w:sz w:val="32"/>
          <w:szCs w:val="32"/>
        </w:rPr>
        <w:t>】。</w:t>
      </w:r>
    </w:p>
    <w:p>
      <w:pPr>
        <w:spacing w:line="600" w:lineRule="exact"/>
        <w:rPr>
          <w:rFonts w:ascii="宋体" w:hAnsi="宋体" w:eastAsia="仿宋_GB2312" w:cs="Times New Roman"/>
          <w:snapToGrid w:val="0"/>
          <w:spacing w:val="4"/>
          <w:kern w:val="0"/>
          <w:sz w:val="32"/>
          <w:szCs w:val="32"/>
        </w:rPr>
      </w:pP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（二）规定了法定罚款上、下限幅度的，以最高罚款额（以</w:t>
      </w:r>
      <w:r>
        <w:rPr>
          <w:rFonts w:ascii="宋体" w:hAnsi="宋体" w:eastAsia="仿宋_GB2312" w:cs="Times New Roman"/>
          <w:snapToGrid w:val="0"/>
          <w:spacing w:val="4"/>
          <w:kern w:val="0"/>
          <w:sz w:val="32"/>
          <w:szCs w:val="32"/>
        </w:rPr>
        <w:t xml:space="preserve"> A</w:t>
      </w:r>
      <w:r>
        <w:rPr>
          <w:rFonts w:hint="eastAsia" w:ascii="宋体" w:hAnsi="宋体" w:eastAsia="仿宋_GB2312" w:cs="Times New Roman"/>
          <w:snapToGrid w:val="0"/>
          <w:spacing w:val="4"/>
          <w:kern w:val="0"/>
          <w:sz w:val="32"/>
          <w:szCs w:val="32"/>
        </w:rPr>
        <w:t>表示）与最低罚款额（以</w:t>
      </w:r>
      <w:r>
        <w:rPr>
          <w:rFonts w:ascii="宋体" w:hAnsi="宋体" w:eastAsia="仿宋_GB2312" w:cs="Times New Roman"/>
          <w:snapToGrid w:val="0"/>
          <w:spacing w:val="4"/>
          <w:kern w:val="0"/>
          <w:sz w:val="32"/>
          <w:szCs w:val="32"/>
        </w:rPr>
        <w:t>B</w:t>
      </w:r>
      <w:r>
        <w:rPr>
          <w:rFonts w:hint="eastAsia" w:ascii="宋体" w:hAnsi="宋体" w:eastAsia="仿宋_GB2312" w:cs="Times New Roman"/>
          <w:snapToGrid w:val="0"/>
          <w:spacing w:val="4"/>
          <w:kern w:val="0"/>
          <w:sz w:val="32"/>
          <w:szCs w:val="32"/>
        </w:rPr>
        <w:t>表示）之差计算，在最低罚款数额基础上，轻微违法行为按差额的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以下确定【轻微档次：</w:t>
      </w:r>
      <w:r>
        <w:rPr>
          <w:rFonts w:ascii="宋体" w:hAnsi="宋体" w:eastAsia="仿宋_GB2312" w:cs="Times New Roman"/>
          <w:snapToGrid w:val="0"/>
          <w:spacing w:val="4"/>
          <w:kern w:val="0"/>
          <w:sz w:val="32"/>
          <w:szCs w:val="32"/>
        </w:rPr>
        <w:t>B</w:t>
      </w:r>
      <w:r>
        <w:rPr>
          <w:rFonts w:hint="eastAsia" w:ascii="宋体" w:hAnsi="宋体" w:eastAsia="仿宋_GB2312" w:cs="Times New Roman"/>
          <w:snapToGrid w:val="0"/>
          <w:spacing w:val="4"/>
          <w:kern w:val="0"/>
          <w:sz w:val="32"/>
          <w:szCs w:val="32"/>
        </w:rPr>
        <w:t>≤罚款≤</w:t>
      </w:r>
      <w:r>
        <w:rPr>
          <w:rFonts w:ascii="宋体" w:hAnsi="宋体" w:eastAsia="仿宋_GB2312" w:cs="Times New Roman"/>
          <w:snapToGrid w:val="0"/>
          <w:spacing w:val="4"/>
          <w:kern w:val="0"/>
          <w:sz w:val="32"/>
          <w:szCs w:val="32"/>
        </w:rPr>
        <w:t>(A-B)</w:t>
      </w:r>
      <w:r>
        <w:t xml:space="preserve"> </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B】；一般违法行为按差额的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至7</w:t>
      </w:r>
      <w:r>
        <w:rPr>
          <w:rFonts w:ascii="宋体" w:hAnsi="宋体" w:eastAsia="仿宋_GB2312" w:cs="Times New Roman"/>
          <w:snapToGrid w:val="0"/>
          <w:spacing w:val="4"/>
          <w:kern w:val="0"/>
          <w:sz w:val="32"/>
          <w:szCs w:val="32"/>
        </w:rPr>
        <w:t>0%</w:t>
      </w:r>
      <w:r>
        <w:rPr>
          <w:rFonts w:hint="eastAsia" w:ascii="宋体" w:hAnsi="宋体" w:eastAsia="仿宋_GB2312" w:cs="Times New Roman"/>
          <w:snapToGrid w:val="0"/>
          <w:spacing w:val="4"/>
          <w:kern w:val="0"/>
          <w:sz w:val="32"/>
          <w:szCs w:val="32"/>
        </w:rPr>
        <w:t>之间确定【一般档次：</w:t>
      </w:r>
      <w:r>
        <w:rPr>
          <w:rFonts w:ascii="宋体" w:hAnsi="宋体" w:eastAsia="仿宋_GB2312" w:cs="Times New Roman"/>
          <w:snapToGrid w:val="0"/>
          <w:spacing w:val="4"/>
          <w:kern w:val="0"/>
          <w:sz w:val="32"/>
          <w:szCs w:val="32"/>
        </w:rPr>
        <w:t>(</w:t>
      </w:r>
      <w:r>
        <w:rPr>
          <w:rFonts w:hint="eastAsia" w:ascii="宋体" w:hAnsi="宋体" w:eastAsia="仿宋_GB2312" w:cs="Times New Roman"/>
          <w:snapToGrid w:val="0"/>
          <w:spacing w:val="4"/>
          <w:kern w:val="0"/>
          <w:sz w:val="32"/>
          <w:szCs w:val="32"/>
        </w:rPr>
        <w:t>A</w:t>
      </w:r>
      <w:r>
        <w:rPr>
          <w:rFonts w:ascii="宋体" w:hAnsi="宋体" w:eastAsia="仿宋_GB2312" w:cs="Times New Roman"/>
          <w:snapToGrid w:val="0"/>
          <w:spacing w:val="4"/>
          <w:kern w:val="0"/>
          <w:sz w:val="32"/>
          <w:szCs w:val="32"/>
        </w:rPr>
        <w:t>-</w:t>
      </w:r>
      <w:r>
        <w:rPr>
          <w:rFonts w:hint="eastAsia" w:ascii="宋体" w:hAnsi="宋体" w:eastAsia="仿宋_GB2312" w:cs="Times New Roman"/>
          <w:snapToGrid w:val="0"/>
          <w:spacing w:val="4"/>
          <w:kern w:val="0"/>
          <w:sz w:val="32"/>
          <w:szCs w:val="32"/>
        </w:rPr>
        <w:t>B</w:t>
      </w:r>
      <w:r>
        <w:rPr>
          <w:rFonts w:ascii="宋体" w:hAnsi="宋体" w:eastAsia="仿宋_GB2312" w:cs="Times New Roman"/>
          <w:snapToGrid w:val="0"/>
          <w:spacing w:val="4"/>
          <w:kern w:val="0"/>
          <w:sz w:val="32"/>
          <w:szCs w:val="32"/>
        </w:rPr>
        <w:t>)</w:t>
      </w:r>
      <w:r>
        <w:rPr>
          <w:rFonts w:hint="eastAsia" w:ascii="宋体" w:hAnsi="宋体" w:eastAsia="宋体" w:cs="Times New Roman"/>
          <w:snapToGrid w:val="0"/>
          <w:spacing w:val="4"/>
          <w:kern w:val="0"/>
          <w:sz w:val="32"/>
          <w:szCs w:val="32"/>
        </w:rPr>
        <w:t>×</w:t>
      </w:r>
      <w:r>
        <w:rPr>
          <w:rFonts w:ascii="宋体" w:hAnsi="宋体" w:eastAsia="宋体" w:cs="Times New Roman"/>
          <w:snapToGrid w:val="0"/>
          <w:spacing w:val="4"/>
          <w:kern w:val="0"/>
          <w:sz w:val="32"/>
          <w:szCs w:val="32"/>
        </w:rPr>
        <w:t>30</w:t>
      </w:r>
      <w:r>
        <w:rPr>
          <w:rFonts w:ascii="宋体" w:hAnsi="宋体" w:eastAsia="仿宋_GB2312" w:cs="Times New Roman"/>
          <w:snapToGrid w:val="0"/>
          <w:spacing w:val="4"/>
          <w:kern w:val="0"/>
          <w:sz w:val="32"/>
          <w:szCs w:val="32"/>
        </w:rPr>
        <w:t>%+B&lt;</w:t>
      </w:r>
      <w:r>
        <w:rPr>
          <w:rFonts w:hint="eastAsia" w:ascii="宋体" w:hAnsi="宋体" w:eastAsia="仿宋_GB2312" w:cs="Times New Roman"/>
          <w:snapToGrid w:val="0"/>
          <w:spacing w:val="4"/>
          <w:kern w:val="0"/>
          <w:sz w:val="32"/>
          <w:szCs w:val="32"/>
        </w:rPr>
        <w:t>罚款≤</w:t>
      </w:r>
      <w:r>
        <w:rPr>
          <w:rFonts w:ascii="宋体" w:hAnsi="宋体" w:eastAsia="仿宋_GB2312" w:cs="Times New Roman"/>
          <w:snapToGrid w:val="0"/>
          <w:spacing w:val="4"/>
          <w:kern w:val="0"/>
          <w:sz w:val="32"/>
          <w:szCs w:val="32"/>
        </w:rPr>
        <w:t>(A-B)</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70%+B</w:t>
      </w:r>
      <w:r>
        <w:rPr>
          <w:rFonts w:hint="eastAsia" w:ascii="宋体" w:hAnsi="宋体" w:eastAsia="仿宋_GB2312" w:cs="Times New Roman"/>
          <w:snapToGrid w:val="0"/>
          <w:spacing w:val="4"/>
          <w:kern w:val="0"/>
          <w:sz w:val="32"/>
          <w:szCs w:val="32"/>
        </w:rPr>
        <w:t>】；严重违法行为按差额的</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以上确定【严重档次：</w:t>
      </w:r>
      <w:r>
        <w:rPr>
          <w:rFonts w:ascii="宋体" w:hAnsi="宋体" w:eastAsia="仿宋_GB2312" w:cs="Times New Roman"/>
          <w:snapToGrid w:val="0"/>
          <w:spacing w:val="4"/>
          <w:kern w:val="0"/>
          <w:sz w:val="32"/>
          <w:szCs w:val="32"/>
        </w:rPr>
        <w:t>(A-B)</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70%+B&lt;</w:t>
      </w:r>
      <w:r>
        <w:rPr>
          <w:rFonts w:hint="eastAsia" w:ascii="宋体" w:hAnsi="宋体" w:eastAsia="仿宋_GB2312" w:cs="Times New Roman"/>
          <w:snapToGrid w:val="0"/>
          <w:spacing w:val="4"/>
          <w:kern w:val="0"/>
          <w:sz w:val="32"/>
          <w:szCs w:val="32"/>
        </w:rPr>
        <w:t>罚款≤</w:t>
      </w:r>
      <w:r>
        <w:rPr>
          <w:rFonts w:ascii="宋体" w:hAnsi="宋体" w:eastAsia="仿宋_GB2312" w:cs="Times New Roman"/>
          <w:snapToGrid w:val="0"/>
          <w:spacing w:val="4"/>
          <w:kern w:val="0"/>
          <w:sz w:val="32"/>
          <w:szCs w:val="32"/>
        </w:rPr>
        <w:t>A</w:t>
      </w:r>
      <w:r>
        <w:rPr>
          <w:rFonts w:hint="eastAsia" w:ascii="宋体" w:hAnsi="宋体" w:eastAsia="仿宋_GB2312" w:cs="Times New Roman"/>
          <w:snapToGrid w:val="0"/>
          <w:spacing w:val="4"/>
          <w:kern w:val="0"/>
          <w:sz w:val="32"/>
          <w:szCs w:val="32"/>
        </w:rPr>
        <w:t>】。</w:t>
      </w:r>
    </w:p>
    <w:p>
      <w:pPr>
        <w:spacing w:line="600" w:lineRule="exact"/>
        <w:rPr>
          <w:rFonts w:ascii="宋体" w:hAnsi="宋体" w:eastAsia="仿宋_GB2312" w:cs="Times New Roman"/>
          <w:snapToGrid w:val="0"/>
          <w:spacing w:val="4"/>
          <w:kern w:val="0"/>
          <w:sz w:val="32"/>
          <w:szCs w:val="32"/>
        </w:rPr>
      </w:pP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（三）罚款为一定数额倍数的，以最高罚款倍数（以</w:t>
      </w:r>
      <w:r>
        <w:rPr>
          <w:rFonts w:ascii="宋体" w:hAnsi="宋体" w:eastAsia="仿宋_GB2312" w:cs="Times New Roman"/>
          <w:snapToGrid w:val="0"/>
          <w:spacing w:val="4"/>
          <w:kern w:val="0"/>
          <w:sz w:val="32"/>
          <w:szCs w:val="32"/>
        </w:rPr>
        <w:t xml:space="preserve"> A</w:t>
      </w:r>
      <w:r>
        <w:rPr>
          <w:rFonts w:hint="eastAsia" w:ascii="宋体" w:hAnsi="宋体" w:eastAsia="仿宋_GB2312" w:cs="Times New Roman"/>
          <w:snapToGrid w:val="0"/>
          <w:spacing w:val="4"/>
          <w:kern w:val="0"/>
          <w:sz w:val="32"/>
          <w:szCs w:val="32"/>
        </w:rPr>
        <w:t>表示）与最低罚款倍数（以</w:t>
      </w:r>
      <w:r>
        <w:rPr>
          <w:rFonts w:ascii="宋体" w:hAnsi="宋体" w:eastAsia="仿宋_GB2312" w:cs="Times New Roman"/>
          <w:snapToGrid w:val="0"/>
          <w:spacing w:val="4"/>
          <w:kern w:val="0"/>
          <w:sz w:val="32"/>
          <w:szCs w:val="32"/>
        </w:rPr>
        <w:t>B</w:t>
      </w:r>
      <w:r>
        <w:rPr>
          <w:rFonts w:hint="eastAsia" w:ascii="宋体" w:hAnsi="宋体" w:eastAsia="仿宋_GB2312" w:cs="Times New Roman"/>
          <w:snapToGrid w:val="0"/>
          <w:spacing w:val="4"/>
          <w:kern w:val="0"/>
          <w:sz w:val="32"/>
          <w:szCs w:val="32"/>
        </w:rPr>
        <w:t>表示）的倍数差计算确定具体适用的倍数。在最低罚款倍数的基础上，对轻微违法行为按倍数差的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以下确定【轻微档次：</w:t>
      </w:r>
      <w:r>
        <w:rPr>
          <w:rFonts w:ascii="宋体" w:hAnsi="宋体" w:eastAsia="仿宋_GB2312" w:cs="Times New Roman"/>
          <w:snapToGrid w:val="0"/>
          <w:spacing w:val="4"/>
          <w:kern w:val="0"/>
          <w:sz w:val="32"/>
          <w:szCs w:val="32"/>
        </w:rPr>
        <w:t>B</w:t>
      </w:r>
      <w:r>
        <w:rPr>
          <w:rFonts w:hint="eastAsia" w:ascii="宋体" w:hAnsi="宋体" w:eastAsia="仿宋_GB2312" w:cs="Times New Roman"/>
          <w:snapToGrid w:val="0"/>
          <w:spacing w:val="4"/>
          <w:kern w:val="0"/>
          <w:sz w:val="32"/>
          <w:szCs w:val="32"/>
        </w:rPr>
        <w:t>≤罚款倍数≤</w:t>
      </w:r>
      <w:r>
        <w:rPr>
          <w:rFonts w:ascii="宋体" w:hAnsi="宋体" w:eastAsia="仿宋_GB2312" w:cs="Times New Roman"/>
          <w:snapToGrid w:val="0"/>
          <w:spacing w:val="4"/>
          <w:kern w:val="0"/>
          <w:sz w:val="32"/>
          <w:szCs w:val="32"/>
        </w:rPr>
        <w:t>(A-B)</w:t>
      </w:r>
      <w:r>
        <w:t xml:space="preserve"> </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30%+B</w:t>
      </w:r>
      <w:r>
        <w:rPr>
          <w:rFonts w:hint="eastAsia" w:ascii="宋体" w:hAnsi="宋体" w:eastAsia="仿宋_GB2312" w:cs="Times New Roman"/>
          <w:snapToGrid w:val="0"/>
          <w:spacing w:val="4"/>
          <w:kern w:val="0"/>
          <w:sz w:val="32"/>
          <w:szCs w:val="32"/>
        </w:rPr>
        <w:t>】；对一般违法行为按倍数差的</w:t>
      </w:r>
      <w:r>
        <w:rPr>
          <w:rFonts w:ascii="宋体" w:hAnsi="宋体" w:eastAsia="仿宋_GB2312" w:cs="Times New Roman"/>
          <w:snapToGrid w:val="0"/>
          <w:spacing w:val="4"/>
          <w:kern w:val="0"/>
          <w:sz w:val="32"/>
          <w:szCs w:val="32"/>
        </w:rPr>
        <w:t>30%</w:t>
      </w:r>
      <w:r>
        <w:rPr>
          <w:rFonts w:hint="eastAsia" w:ascii="宋体" w:hAnsi="宋体" w:eastAsia="仿宋_GB2312" w:cs="Times New Roman"/>
          <w:snapToGrid w:val="0"/>
          <w:spacing w:val="4"/>
          <w:kern w:val="0"/>
          <w:sz w:val="32"/>
          <w:szCs w:val="32"/>
        </w:rPr>
        <w:t>至</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幅度之间确定【一般档次：</w:t>
      </w:r>
      <w:r>
        <w:rPr>
          <w:rFonts w:ascii="宋体" w:hAnsi="宋体" w:eastAsia="仿宋_GB2312" w:cs="Times New Roman"/>
          <w:snapToGrid w:val="0"/>
          <w:spacing w:val="4"/>
          <w:kern w:val="0"/>
          <w:sz w:val="32"/>
          <w:szCs w:val="32"/>
        </w:rPr>
        <w:t>(A-B)</w:t>
      </w:r>
      <w:r>
        <w:rPr>
          <w:rFonts w:hint="eastAsia" w:ascii="宋体" w:hAnsi="宋体" w:eastAsia="宋体" w:cs="Times New Roman"/>
          <w:snapToGrid w:val="0"/>
          <w:spacing w:val="4"/>
          <w:kern w:val="0"/>
          <w:sz w:val="32"/>
          <w:szCs w:val="32"/>
        </w:rPr>
        <w:t>×</w:t>
      </w:r>
      <w:r>
        <w:rPr>
          <w:rFonts w:ascii="宋体" w:hAnsi="宋体" w:eastAsia="宋体" w:cs="Times New Roman"/>
          <w:snapToGrid w:val="0"/>
          <w:spacing w:val="4"/>
          <w:kern w:val="0"/>
          <w:sz w:val="32"/>
          <w:szCs w:val="32"/>
        </w:rPr>
        <w:t>30</w:t>
      </w:r>
      <w:r>
        <w:rPr>
          <w:rFonts w:ascii="宋体" w:hAnsi="宋体" w:eastAsia="仿宋_GB2312" w:cs="Times New Roman"/>
          <w:snapToGrid w:val="0"/>
          <w:spacing w:val="4"/>
          <w:kern w:val="0"/>
          <w:sz w:val="32"/>
          <w:szCs w:val="32"/>
        </w:rPr>
        <w:t>%+B &lt;</w:t>
      </w:r>
      <w:r>
        <w:rPr>
          <w:rFonts w:hint="eastAsia" w:ascii="宋体" w:hAnsi="宋体" w:eastAsia="仿宋_GB2312" w:cs="Times New Roman"/>
          <w:snapToGrid w:val="0"/>
          <w:spacing w:val="4"/>
          <w:kern w:val="0"/>
          <w:sz w:val="32"/>
          <w:szCs w:val="32"/>
        </w:rPr>
        <w:t>罚款倍数≤</w:t>
      </w:r>
      <w:r>
        <w:rPr>
          <w:rFonts w:ascii="宋体" w:hAnsi="宋体" w:eastAsia="仿宋_GB2312" w:cs="Times New Roman"/>
          <w:snapToGrid w:val="0"/>
          <w:spacing w:val="4"/>
          <w:kern w:val="0"/>
          <w:sz w:val="32"/>
          <w:szCs w:val="32"/>
        </w:rPr>
        <w:t xml:space="preserve"> (A-B)</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70%+B</w:t>
      </w:r>
      <w:r>
        <w:rPr>
          <w:rFonts w:hint="eastAsia" w:ascii="宋体" w:hAnsi="宋体" w:eastAsia="仿宋_GB2312" w:cs="Times New Roman"/>
          <w:snapToGrid w:val="0"/>
          <w:spacing w:val="4"/>
          <w:kern w:val="0"/>
          <w:sz w:val="32"/>
          <w:szCs w:val="32"/>
        </w:rPr>
        <w:t>】；对严重违法行为按倍数差的</w:t>
      </w:r>
      <w:r>
        <w:rPr>
          <w:rFonts w:ascii="宋体" w:hAnsi="宋体" w:eastAsia="仿宋_GB2312" w:cs="Times New Roman"/>
          <w:snapToGrid w:val="0"/>
          <w:spacing w:val="4"/>
          <w:kern w:val="0"/>
          <w:sz w:val="32"/>
          <w:szCs w:val="32"/>
        </w:rPr>
        <w:t>70%</w:t>
      </w:r>
      <w:r>
        <w:rPr>
          <w:rFonts w:hint="eastAsia" w:ascii="宋体" w:hAnsi="宋体" w:eastAsia="仿宋_GB2312" w:cs="Times New Roman"/>
          <w:snapToGrid w:val="0"/>
          <w:spacing w:val="4"/>
          <w:kern w:val="0"/>
          <w:sz w:val="32"/>
          <w:szCs w:val="32"/>
        </w:rPr>
        <w:t>以上确定【严重档次：</w:t>
      </w:r>
      <w:r>
        <w:rPr>
          <w:rFonts w:ascii="宋体" w:hAnsi="宋体" w:eastAsia="仿宋_GB2312" w:cs="Times New Roman"/>
          <w:snapToGrid w:val="0"/>
          <w:spacing w:val="4"/>
          <w:kern w:val="0"/>
          <w:sz w:val="32"/>
          <w:szCs w:val="32"/>
        </w:rPr>
        <w:t>(A-B)</w:t>
      </w:r>
      <w:r>
        <w:rPr>
          <w:rFonts w:hint="eastAsia" w:ascii="宋体" w:hAnsi="宋体" w:eastAsia="宋体" w:cs="Times New Roman"/>
          <w:snapToGrid w:val="0"/>
          <w:spacing w:val="4"/>
          <w:kern w:val="0"/>
          <w:sz w:val="32"/>
          <w:szCs w:val="32"/>
        </w:rPr>
        <w:t>×</w:t>
      </w:r>
      <w:r>
        <w:rPr>
          <w:rFonts w:ascii="宋体" w:hAnsi="宋体" w:eastAsia="仿宋_GB2312" w:cs="Times New Roman"/>
          <w:snapToGrid w:val="0"/>
          <w:spacing w:val="4"/>
          <w:kern w:val="0"/>
          <w:sz w:val="32"/>
          <w:szCs w:val="32"/>
        </w:rPr>
        <w:t>70%+B&lt;</w:t>
      </w:r>
      <w:r>
        <w:rPr>
          <w:rFonts w:hint="eastAsia" w:ascii="宋体" w:hAnsi="宋体" w:eastAsia="仿宋_GB2312" w:cs="Times New Roman"/>
          <w:snapToGrid w:val="0"/>
          <w:spacing w:val="4"/>
          <w:kern w:val="0"/>
          <w:sz w:val="32"/>
          <w:szCs w:val="32"/>
        </w:rPr>
        <w:t>罚款倍数≤</w:t>
      </w:r>
      <w:r>
        <w:rPr>
          <w:rFonts w:ascii="宋体" w:hAnsi="宋体" w:eastAsia="仿宋_GB2312" w:cs="Times New Roman"/>
          <w:snapToGrid w:val="0"/>
          <w:spacing w:val="4"/>
          <w:kern w:val="0"/>
          <w:sz w:val="32"/>
          <w:szCs w:val="32"/>
        </w:rPr>
        <w:t>A</w:t>
      </w:r>
      <w:r>
        <w:rPr>
          <w:rFonts w:hint="eastAsia" w:ascii="宋体" w:hAnsi="宋体" w:eastAsia="仿宋_GB2312" w:cs="Times New Roman"/>
          <w:snapToGrid w:val="0"/>
          <w:spacing w:val="4"/>
          <w:kern w:val="0"/>
          <w:sz w:val="32"/>
          <w:szCs w:val="32"/>
        </w:rPr>
        <w:t>】。</w:t>
      </w:r>
    </w:p>
    <w:p>
      <w:pPr>
        <w:spacing w:line="600" w:lineRule="exact"/>
        <w:ind w:firstLine="66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为便于实际操作，本条第（一）（二）项，罚款数值非整数的，以元为计算单位，按四舍五入法，取相近数值的整数。本条第（三）项，罚款倍数的数值非整数的，按四舍五入法</w:t>
      </w:r>
      <w:r>
        <w:rPr>
          <w:rFonts w:hint="eastAsia" w:ascii="宋体" w:hAnsi="宋体" w:eastAsia="仿宋_GB2312" w:cs="Times New Roman"/>
          <w:snapToGrid w:val="0"/>
          <w:spacing w:val="4"/>
          <w:kern w:val="0"/>
          <w:sz w:val="32"/>
          <w:szCs w:val="32"/>
          <w:highlight w:val="none"/>
        </w:rPr>
        <w:t>保留小数点后两位。</w:t>
      </w:r>
      <w:r>
        <w:rPr>
          <w:rFonts w:hint="eastAsia" w:ascii="宋体" w:hAnsi="宋体" w:eastAsia="仿宋_GB2312" w:cs="Times New Roman"/>
          <w:snapToGrid w:val="0"/>
          <w:spacing w:val="4"/>
          <w:kern w:val="0"/>
          <w:sz w:val="32"/>
          <w:szCs w:val="32"/>
        </w:rPr>
        <w:t>（上述“≤”含本数，“</w:t>
      </w:r>
      <w:r>
        <w:rPr>
          <w:rFonts w:hint="eastAsia" w:ascii="宋体" w:hAnsi="宋体" w:eastAsia="宋体" w:cs="Times New Roman"/>
          <w:snapToGrid w:val="0"/>
          <w:spacing w:val="4"/>
          <w:kern w:val="0"/>
          <w:sz w:val="32"/>
          <w:szCs w:val="32"/>
        </w:rPr>
        <w:t>&lt;</w:t>
      </w:r>
      <w:r>
        <w:rPr>
          <w:rFonts w:hint="eastAsia" w:ascii="宋体" w:hAnsi="宋体" w:eastAsia="仿宋_GB2312" w:cs="Times New Roman"/>
          <w:snapToGrid w:val="0"/>
          <w:spacing w:val="4"/>
          <w:kern w:val="0"/>
          <w:sz w:val="32"/>
          <w:szCs w:val="32"/>
        </w:rPr>
        <w:t>”不含本数）</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第十四条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对法律、法规或者规章规定的处罚种类，规定可以单处或可以并处的，可以选择适用；对规定并处或应当并处的，除符合减轻处罚情形外，不得选择适用。</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第十五条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同一当事人有两种以上违法行为，没有牵连关系的，应当分别裁量，合并处罚；当事人出于一个违法目的，实施了两个及以上独立的违法行为，数个违法行为</w:t>
      </w:r>
      <w:r>
        <w:rPr>
          <w:rFonts w:hint="eastAsia" w:ascii="宋体" w:hAnsi="宋体" w:eastAsia="仿宋_GB2312" w:cs="Times New Roman"/>
          <w:snapToGrid w:val="0"/>
          <w:color w:val="auto"/>
          <w:spacing w:val="4"/>
          <w:kern w:val="0"/>
          <w:sz w:val="32"/>
          <w:szCs w:val="32"/>
        </w:rPr>
        <w:t>存在目的</w:t>
      </w:r>
      <w:r>
        <w:rPr>
          <w:rFonts w:hint="eastAsia" w:ascii="宋体" w:hAnsi="宋体" w:eastAsia="仿宋_GB2312" w:cs="Times New Roman"/>
          <w:snapToGrid w:val="0"/>
          <w:spacing w:val="4"/>
          <w:kern w:val="0"/>
          <w:sz w:val="32"/>
          <w:szCs w:val="32"/>
        </w:rPr>
        <w:t>与手段或者原因与结果</w:t>
      </w:r>
      <w:r>
        <w:rPr>
          <w:rFonts w:hint="eastAsia" w:ascii="宋体" w:hAnsi="宋体" w:eastAsia="仿宋_GB2312" w:cs="Times New Roman"/>
          <w:snapToGrid w:val="0"/>
          <w:color w:val="auto"/>
          <w:spacing w:val="4"/>
          <w:kern w:val="0"/>
          <w:sz w:val="32"/>
          <w:szCs w:val="32"/>
        </w:rPr>
        <w:t>的牵连</w:t>
      </w:r>
      <w:r>
        <w:rPr>
          <w:rFonts w:hint="eastAsia" w:ascii="宋体" w:hAnsi="宋体" w:eastAsia="仿宋_GB2312" w:cs="Times New Roman"/>
          <w:snapToGrid w:val="0"/>
          <w:spacing w:val="4"/>
          <w:kern w:val="0"/>
          <w:sz w:val="32"/>
          <w:szCs w:val="32"/>
        </w:rPr>
        <w:t>关系的，且分别违反了不同的卫生法律规范的，适用吸收原则，选择较重的违法行为处罚。</w:t>
      </w:r>
    </w:p>
    <w:p>
      <w:pPr>
        <w:spacing w:line="600" w:lineRule="exact"/>
        <w:ind w:firstLine="66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同一当事人违反同一法条所涵盖的两项以上违法行为的，</w:t>
      </w:r>
      <w:r>
        <w:rPr>
          <w:rFonts w:hint="eastAsia" w:ascii="宋体" w:hAnsi="宋体" w:eastAsia="仿宋_GB2312" w:cs="Times New Roman"/>
          <w:snapToGrid w:val="0"/>
          <w:color w:val="FF0000"/>
          <w:spacing w:val="4"/>
          <w:kern w:val="0"/>
          <w:sz w:val="32"/>
          <w:szCs w:val="32"/>
          <w:highlight w:val="none"/>
        </w:rPr>
        <w:t>可以</w:t>
      </w:r>
      <w:r>
        <w:rPr>
          <w:rFonts w:hint="eastAsia" w:ascii="宋体" w:hAnsi="宋体" w:eastAsia="仿宋_GB2312" w:cs="Times New Roman"/>
          <w:snapToGrid w:val="0"/>
          <w:spacing w:val="4"/>
          <w:kern w:val="0"/>
          <w:sz w:val="32"/>
          <w:szCs w:val="32"/>
        </w:rPr>
        <w:t>从重处罚，原则上不得突破该法条规定的罚款数额上限。</w:t>
      </w:r>
    </w:p>
    <w:p>
      <w:pPr>
        <w:spacing w:line="600" w:lineRule="exact"/>
        <w:rPr>
          <w:rFonts w:ascii="宋体" w:hAnsi="宋体" w:eastAsia="仿宋_GB2312" w:cs="Times New Roman"/>
          <w:b/>
          <w:snapToGrid w:val="0"/>
          <w:spacing w:val="4"/>
          <w:kern w:val="0"/>
          <w:sz w:val="32"/>
          <w:szCs w:val="32"/>
        </w:rPr>
      </w:pPr>
      <w:r>
        <w:rPr>
          <w:rFonts w:ascii="宋体" w:hAnsi="宋体" w:eastAsia="仿宋_GB2312" w:cs="Times New Roman"/>
          <w:snapToGrid w:val="0"/>
          <w:spacing w:val="4"/>
          <w:kern w:val="0"/>
          <w:sz w:val="32"/>
          <w:szCs w:val="32"/>
        </w:rPr>
        <w:t xml:space="preserve">   </w:t>
      </w:r>
      <w:r>
        <w:rPr>
          <w:rFonts w:ascii="黑体" w:hAnsi="黑体" w:eastAsia="黑体" w:cs="Times New Roman"/>
          <w:snapToGrid w:val="0"/>
          <w:spacing w:val="4"/>
          <w:kern w:val="0"/>
          <w:sz w:val="32"/>
          <w:szCs w:val="32"/>
        </w:rPr>
        <w:t xml:space="preserve"> </w:t>
      </w:r>
      <w:r>
        <w:rPr>
          <w:rFonts w:hint="eastAsia" w:ascii="黑体" w:hAnsi="黑体" w:eastAsia="黑体" w:cs="Times New Roman"/>
          <w:snapToGrid w:val="0"/>
          <w:spacing w:val="4"/>
          <w:kern w:val="0"/>
          <w:sz w:val="32"/>
          <w:szCs w:val="32"/>
        </w:rPr>
        <w:t>第十六条</w:t>
      </w:r>
      <w:r>
        <w:rPr>
          <w:rFonts w:ascii="宋体" w:hAnsi="宋体" w:eastAsia="仿宋_GB2312" w:cs="Times New Roman"/>
          <w:b/>
          <w:bCs/>
          <w:snapToGrid w:val="0"/>
          <w:spacing w:val="4"/>
          <w:kern w:val="0"/>
          <w:sz w:val="32"/>
          <w:szCs w:val="32"/>
        </w:rPr>
        <w:t xml:space="preserve"> </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对当事人的同一违法行为，不得给予两次以上罚款的行政处罚。同一个违法行为违反多个法律规范应当给予罚款处罚的，按照罚款数额高的规定处罚。</w:t>
      </w:r>
    </w:p>
    <w:p>
      <w:pPr>
        <w:spacing w:line="600" w:lineRule="exact"/>
        <w:ind w:firstLine="66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第十七条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违法行为人具有明显主观过错，违法情节严重，造成严重后果或足以危害人体健康和公共卫生安全，涉嫌犯罪的，报经卫生健康行政机关负责人同意，移送同级公安机关，同时抄报同级人民检察院。</w:t>
      </w:r>
    </w:p>
    <w:p>
      <w:pPr>
        <w:spacing w:line="600" w:lineRule="exact"/>
        <w:ind w:firstLine="66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第十八条</w:t>
      </w:r>
      <w:r>
        <w:rPr>
          <w:rFonts w:ascii="黑体" w:hAnsi="黑体" w:eastAsia="黑体" w:cs="Times New Roman"/>
          <w:snapToGrid w:val="0"/>
          <w:spacing w:val="4"/>
          <w:kern w:val="0"/>
          <w:sz w:val="32"/>
          <w:szCs w:val="32"/>
        </w:rPr>
        <w:t xml:space="preserve"> </w:t>
      </w:r>
      <w:r>
        <w:rPr>
          <w:rFonts w:ascii="宋体" w:hAnsi="宋体" w:eastAsia="仿宋_GB2312" w:cs="Times New Roman"/>
          <w:snapToGrid w:val="0"/>
          <w:color w:val="FF0000"/>
          <w:spacing w:val="4"/>
          <w:kern w:val="0"/>
          <w:sz w:val="32"/>
          <w:szCs w:val="32"/>
        </w:rPr>
        <w:t xml:space="preserve"> </w:t>
      </w:r>
      <w:r>
        <w:rPr>
          <w:rFonts w:hint="eastAsia" w:ascii="宋体" w:hAnsi="宋体" w:eastAsia="仿宋_GB2312" w:cs="Times New Roman"/>
          <w:snapToGrid w:val="0"/>
          <w:color w:val="000000"/>
          <w:spacing w:val="4"/>
          <w:kern w:val="0"/>
          <w:sz w:val="32"/>
          <w:szCs w:val="32"/>
        </w:rPr>
        <w:t>对于违法事实已经查清，不是必须立即移送的案件，可先行实施行政处罚，再办理移送手续。</w:t>
      </w:r>
      <w:r>
        <w:rPr>
          <w:rFonts w:hint="eastAsia" w:ascii="宋体" w:hAnsi="宋体" w:eastAsia="仿宋_GB2312" w:cs="Times New Roman"/>
          <w:snapToGrid w:val="0"/>
          <w:spacing w:val="4"/>
          <w:kern w:val="0"/>
          <w:sz w:val="32"/>
          <w:szCs w:val="32"/>
        </w:rPr>
        <w:t>具有下列情形之一涉嫌犯罪的，应当立即移送公安机关：</w:t>
      </w:r>
      <w:r>
        <w:rPr>
          <w:rFonts w:ascii="宋体" w:hAnsi="宋体" w:eastAsia="仿宋_GB2312" w:cs="Times New Roman"/>
          <w:snapToGrid w:val="0"/>
          <w:spacing w:val="4"/>
          <w:kern w:val="0"/>
          <w:sz w:val="32"/>
          <w:szCs w:val="32"/>
        </w:rPr>
        <w:t xml:space="preserve"> </w:t>
      </w:r>
    </w:p>
    <w:p>
      <w:pPr>
        <w:spacing w:line="600" w:lineRule="exact"/>
        <w:ind w:firstLine="640" w:firstLineChars="200"/>
        <w:rPr>
          <w:rFonts w:ascii="宋体" w:hAnsi="宋体" w:eastAsia="仿宋_GB2312" w:cs="Times New Roman"/>
          <w:snapToGrid w:val="0"/>
          <w:spacing w:val="4"/>
          <w:kern w:val="0"/>
          <w:sz w:val="32"/>
          <w:szCs w:val="32"/>
        </w:rPr>
      </w:pPr>
      <w:r>
        <w:rPr>
          <w:rFonts w:hint="eastAsia" w:ascii="仿宋_GB2312" w:hAnsi="仿宋_GB2312" w:eastAsia="仿宋_GB2312" w:cs="仿宋_GB2312"/>
          <w:sz w:val="32"/>
        </w:rPr>
        <w:t>（一）</w:t>
      </w:r>
      <w:r>
        <w:rPr>
          <w:rFonts w:ascii="仿宋_GB2312" w:hAnsi="仿宋_GB2312" w:eastAsia="仿宋_GB2312" w:cs="仿宋_GB2312"/>
          <w:sz w:val="32"/>
        </w:rPr>
        <w:t>违反传染病防治法的规定</w:t>
      </w:r>
      <w:r>
        <w:rPr>
          <w:rFonts w:hint="eastAsia" w:ascii="仿宋_GB2312" w:hAnsi="仿宋_GB2312" w:eastAsia="仿宋_GB2312" w:cs="仿宋_GB2312"/>
          <w:sz w:val="32"/>
        </w:rPr>
        <w:t>，</w:t>
      </w:r>
      <w:r>
        <w:rPr>
          <w:rFonts w:ascii="仿宋_GB2312" w:hAnsi="仿宋_GB2312" w:eastAsia="仿宋_GB2312" w:cs="仿宋_GB2312"/>
          <w:sz w:val="32"/>
        </w:rPr>
        <w:t>引起甲类传染病以及依法确定采取甲类传染病预防、控制措施的传染病传播或者有传播严重危险</w:t>
      </w:r>
      <w:r>
        <w:rPr>
          <w:rFonts w:hint="eastAsia" w:ascii="仿宋_GB2312" w:hAnsi="仿宋_GB2312" w:eastAsia="仿宋_GB2312" w:cs="仿宋_GB2312"/>
          <w:sz w:val="32"/>
        </w:rPr>
        <w:t>，</w:t>
      </w:r>
      <w:r>
        <w:rPr>
          <w:rFonts w:hint="eastAsia" w:ascii="宋体" w:hAnsi="宋体" w:eastAsia="仿宋_GB2312" w:cs="Times New Roman"/>
          <w:snapToGrid w:val="0"/>
          <w:spacing w:val="4"/>
          <w:kern w:val="0"/>
          <w:sz w:val="32"/>
          <w:szCs w:val="32"/>
        </w:rPr>
        <w:t>涉嫌构成妨害传染病防治罪的。</w:t>
      </w:r>
    </w:p>
    <w:p>
      <w:pPr>
        <w:spacing w:line="600" w:lineRule="exact"/>
        <w:ind w:firstLine="624"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（二）从事实验、保藏、携带、运输传染病菌种、毒种的人员，违反国务院卫生行政部门的有关规定，造成传染病菌种、毒种扩散，后果严重，涉嫌构成传染病菌种、毒种扩散罪的。</w:t>
      </w:r>
    </w:p>
    <w:p>
      <w:pPr>
        <w:spacing w:line="600" w:lineRule="exact"/>
        <w:ind w:firstLine="624"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（三）</w:t>
      </w:r>
      <w:r>
        <w:rPr>
          <w:rFonts w:hint="eastAsia" w:ascii="宋体" w:hAnsi="宋体" w:eastAsia="仿宋_GB2312" w:cs="Times New Roman"/>
          <w:snapToGrid w:val="0"/>
          <w:spacing w:val="4"/>
          <w:kern w:val="0"/>
          <w:sz w:val="32"/>
          <w:szCs w:val="32"/>
        </w:rPr>
        <w:t>非法组织他人出卖血液，情节严重，涉嫌构成非法组织卖血罪、强迫卖血罪的。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（四）非法采集、供应血液、制作、供应血液制品，不符合国家规定的标准，足以危害人体健康，涉嫌构成非法采集、供应血液罪或者非法制作、供应血液制品罪的。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（五）经国家主管部门批准采集、供应血液或者制作、供应血液制品的部门，不依照规定进行检测或者违背其他操作规定，造成危害他人身体健康后果，涉嫌构成采集、供应血液、制作、供应血液制品事故罪的。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（六）医务人员由于严重不负责任，造成就诊人死亡或者严重损害就诊人身体健康，涉嫌构成医疗事故罪的。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（七）未取得医生执业资格的人非法行医，情节严重，涉嫌构成非法行医罪的。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（八）组织他人出卖人体器官，涉嫌构成组织出卖人体器官罪的。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（九）未经本人同意摘取其器官，或者摘取不满十八周岁的人的器官，或者强迫、欺骗他人捐献器官的，涉嫌构成故意伤害罪或故意杀人罪的。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（十）违背本人生前意愿摘取其尸体器官，或者本人生前未表示同意，违反国家规定，违背其近亲属意愿摘取其尸体器官，涉嫌构成盗窃、侮辱尸体罪的。</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（十一）依法应当立即移送的其他涉嫌犯罪案件。</w:t>
      </w:r>
    </w:p>
    <w:p>
      <w:pPr>
        <w:spacing w:line="600" w:lineRule="exact"/>
        <w:jc w:val="center"/>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第三章</w:t>
      </w:r>
      <w:r>
        <w:rPr>
          <w:rFonts w:ascii="黑体" w:hAnsi="黑体" w:eastAsia="黑体" w:cs="Times New Roman"/>
          <w:snapToGrid w:val="0"/>
          <w:spacing w:val="4"/>
          <w:kern w:val="0"/>
          <w:sz w:val="32"/>
          <w:szCs w:val="32"/>
        </w:rPr>
        <w:t xml:space="preserve">  </w:t>
      </w:r>
      <w:r>
        <w:rPr>
          <w:rFonts w:hint="eastAsia" w:ascii="黑体" w:hAnsi="黑体" w:eastAsia="黑体" w:cs="Times New Roman"/>
          <w:snapToGrid w:val="0"/>
          <w:spacing w:val="4"/>
          <w:kern w:val="0"/>
          <w:sz w:val="32"/>
          <w:szCs w:val="32"/>
        </w:rPr>
        <w:t>实施程序</w:t>
      </w:r>
    </w:p>
    <w:p>
      <w:pPr>
        <w:spacing w:line="600" w:lineRule="exact"/>
        <w:ind w:firstLine="626" w:firstLineChars="191"/>
        <w:rPr>
          <w:rFonts w:ascii="宋体" w:hAnsi="宋体" w:eastAsia="仿宋_GB2312"/>
          <w:snapToGrid w:val="0"/>
          <w:spacing w:val="4"/>
          <w:kern w:val="0"/>
          <w:sz w:val="32"/>
          <w:szCs w:val="32"/>
        </w:rPr>
      </w:pPr>
      <w:r>
        <w:rPr>
          <w:rFonts w:hint="eastAsia" w:ascii="黑体" w:hAnsi="黑体" w:eastAsia="黑体" w:cs="Times New Roman"/>
          <w:snapToGrid w:val="0"/>
          <w:spacing w:val="4"/>
          <w:kern w:val="0"/>
          <w:sz w:val="32"/>
          <w:szCs w:val="32"/>
        </w:rPr>
        <w:t>第十九条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已立案的行政处罚案件，未经卫生健康执法机关负责人批准，不得擅自销案。</w:t>
      </w:r>
    </w:p>
    <w:p>
      <w:pPr>
        <w:spacing w:line="600" w:lineRule="exact"/>
        <w:ind w:firstLine="709"/>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第二十条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法律、法规、规章明确规定的应当责令改正的违法行为，必须书面要求限期改正。法律、法规、规章规定应当先责令改正或者责令限期改正，逾期不改正才处罚的，应当先责令改正，当事人超过规定期限逾期不改正的，再依法做出行政处罚。对责令改正的具体期限，可根据执法的具体情况予以规定。除法律、法规、规章另有明确规定之外，责令限期改正的期限一般不得超过三十日。</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第二十一条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color w:val="auto"/>
          <w:spacing w:val="4"/>
          <w:kern w:val="0"/>
          <w:sz w:val="32"/>
          <w:szCs w:val="32"/>
          <w:shd w:val="clear" w:color="auto" w:fill="auto"/>
        </w:rPr>
        <w:t>实施行政处罚前，执法人员应当收集能支持裁量结果的证据，并以此作为行使行政处罚自由裁量权的</w:t>
      </w:r>
      <w:r>
        <w:rPr>
          <w:rFonts w:hint="eastAsia" w:ascii="宋体" w:hAnsi="宋体" w:eastAsia="仿宋_GB2312" w:cs="Times New Roman"/>
          <w:snapToGrid w:val="0"/>
          <w:spacing w:val="4"/>
          <w:kern w:val="0"/>
          <w:sz w:val="32"/>
          <w:szCs w:val="32"/>
        </w:rPr>
        <w:t>相关事实</w:t>
      </w:r>
      <w:r>
        <w:rPr>
          <w:rFonts w:hint="eastAsia" w:ascii="宋体" w:hAnsi="宋体" w:eastAsia="仿宋_GB2312" w:cs="Times New Roman"/>
          <w:snapToGrid w:val="0"/>
          <w:color w:val="auto"/>
          <w:spacing w:val="4"/>
          <w:kern w:val="0"/>
          <w:sz w:val="32"/>
          <w:szCs w:val="32"/>
          <w:shd w:val="clear" w:color="auto" w:fill="auto"/>
        </w:rPr>
        <w:t>依据。</w:t>
      </w:r>
    </w:p>
    <w:p>
      <w:pPr>
        <w:spacing w:line="600" w:lineRule="exact"/>
        <w:ind w:firstLine="656" w:firstLineChars="200"/>
        <w:rPr>
          <w:rFonts w:ascii="宋体" w:hAnsi="宋体" w:eastAsia="仿宋_GB2312"/>
          <w:snapToGrid w:val="0"/>
          <w:spacing w:val="4"/>
          <w:kern w:val="0"/>
          <w:sz w:val="32"/>
          <w:szCs w:val="32"/>
        </w:rPr>
      </w:pPr>
      <w:r>
        <w:rPr>
          <w:rFonts w:hint="eastAsia" w:ascii="宋体" w:hAnsi="宋体" w:eastAsia="仿宋_GB2312" w:cs="Times New Roman"/>
          <w:snapToGrid w:val="0"/>
          <w:spacing w:val="4"/>
          <w:kern w:val="0"/>
          <w:sz w:val="32"/>
          <w:szCs w:val="32"/>
        </w:rPr>
        <w:t>当事人确有不予处罚、减轻处罚、从轻处罚或者从重处罚情形的，应当在调查终结报告中载明拟不予处罚、减轻处罚、从轻处罚或者从重处罚的事实、理由和依据。</w:t>
      </w:r>
    </w:p>
    <w:p>
      <w:pPr>
        <w:spacing w:line="600" w:lineRule="exact"/>
        <w:ind w:firstLine="656" w:firstLineChars="200"/>
        <w:rPr>
          <w:rFonts w:ascii="宋体" w:hAnsi="宋体" w:eastAsia="仿宋_GB2312" w:cs="Times New Roman"/>
          <w:b/>
          <w:snapToGrid w:val="0"/>
          <w:spacing w:val="4"/>
          <w:kern w:val="0"/>
          <w:sz w:val="32"/>
          <w:szCs w:val="32"/>
          <w:highlight w:val="none"/>
        </w:rPr>
      </w:pPr>
      <w:r>
        <w:rPr>
          <w:rFonts w:hint="eastAsia" w:ascii="黑体" w:hAnsi="黑体" w:eastAsia="黑体" w:cs="Times New Roman"/>
          <w:snapToGrid w:val="0"/>
          <w:spacing w:val="4"/>
          <w:kern w:val="0"/>
          <w:sz w:val="32"/>
          <w:szCs w:val="32"/>
        </w:rPr>
        <w:t>第二十二条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案件合议时，执法人员应当提出行使行政处罚自由裁量权的具体建议，对行政处罚自由裁量的事实、理由和依据做出说明，合议人员依据法律、法规、规章和本规则，集体做出合议建议。</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第二十三条</w:t>
      </w:r>
      <w:r>
        <w:rPr>
          <w:rFonts w:hint="eastAsia" w:ascii="宋体" w:hAnsi="宋体" w:eastAsia="仿宋_GB2312" w:cs="Times New Roman"/>
          <w:snapToGrid w:val="0"/>
          <w:spacing w:val="4"/>
          <w:kern w:val="0"/>
          <w:sz w:val="32"/>
          <w:szCs w:val="32"/>
        </w:rPr>
        <w:t xml:space="preserve">  执法人员行使行政处罚自由裁量权，应当依法履行事先告知程序，充分尊重当事人的陈述权、申辩权、听证权，充分听取当事人的意见。</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对当事人提出的事实、理由和证据，执法人员应当复核。当事人提出的事实、理由或者证据成立的，执法人员应当采纳。当事人依法要求听证的，应当按照法定程序及时组织听证。</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不得因当事人的陈述申辩或者听证加重行政处罚。</w:t>
      </w:r>
    </w:p>
    <w:p>
      <w:pPr>
        <w:spacing w:line="600" w:lineRule="exact"/>
        <w:ind w:firstLine="656" w:firstLineChars="200"/>
        <w:rPr>
          <w:rFonts w:eastAsia="仿宋_GB2312" w:cs="Times New Roman"/>
          <w:snapToGrid w:val="0"/>
          <w:spacing w:val="4"/>
          <w:sz w:val="32"/>
          <w:szCs w:val="32"/>
        </w:rPr>
      </w:pPr>
      <w:r>
        <w:rPr>
          <w:rFonts w:hint="eastAsia" w:ascii="黑体" w:hAnsi="黑体" w:eastAsia="黑体" w:cs="Times New Roman"/>
          <w:snapToGrid w:val="0"/>
          <w:color w:val="444444"/>
          <w:spacing w:val="4"/>
          <w:kern w:val="0"/>
          <w:sz w:val="32"/>
          <w:szCs w:val="32"/>
        </w:rPr>
        <w:t>第二十</w:t>
      </w:r>
      <w:r>
        <w:rPr>
          <w:rFonts w:hint="eastAsia" w:ascii="黑体" w:hAnsi="黑体" w:eastAsia="黑体" w:cs="Times New Roman"/>
          <w:snapToGrid w:val="0"/>
          <w:spacing w:val="4"/>
          <w:kern w:val="0"/>
          <w:sz w:val="32"/>
          <w:szCs w:val="32"/>
        </w:rPr>
        <w:t>四</w:t>
      </w:r>
      <w:r>
        <w:rPr>
          <w:rFonts w:hint="eastAsia" w:ascii="黑体" w:hAnsi="黑体" w:eastAsia="黑体" w:cs="Times New Roman"/>
          <w:snapToGrid w:val="0"/>
          <w:color w:val="444444"/>
          <w:spacing w:val="4"/>
          <w:kern w:val="0"/>
          <w:sz w:val="32"/>
          <w:szCs w:val="32"/>
        </w:rPr>
        <w:t>条</w:t>
      </w:r>
      <w:r>
        <w:rPr>
          <w:rFonts w:hint="eastAsia" w:ascii="黑体" w:hAnsi="黑体" w:eastAsia="黑体"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各级</w:t>
      </w:r>
      <w:r>
        <w:rPr>
          <w:rFonts w:hint="eastAsia" w:ascii="宋体" w:hAnsi="宋体" w:eastAsia="仿宋_GB2312" w:cs="Times New Roman"/>
          <w:snapToGrid w:val="0"/>
          <w:color w:val="444444"/>
          <w:spacing w:val="4"/>
          <w:kern w:val="0"/>
          <w:sz w:val="32"/>
          <w:szCs w:val="32"/>
        </w:rPr>
        <w:t>卫生健康行政机关应建立和完善案件集体讨论制度，</w:t>
      </w:r>
      <w:r>
        <w:rPr>
          <w:rFonts w:hint="eastAsia" w:ascii="宋体" w:hAnsi="宋体" w:eastAsia="仿宋_GB2312" w:cs="Times New Roman"/>
          <w:snapToGrid w:val="0"/>
          <w:spacing w:val="4"/>
          <w:kern w:val="0"/>
          <w:sz w:val="32"/>
          <w:szCs w:val="32"/>
        </w:rPr>
        <w:t>明确重大或者复杂案件的具体标准，</w:t>
      </w:r>
      <w:r>
        <w:rPr>
          <w:rFonts w:hint="eastAsia" w:ascii="宋体" w:hAnsi="宋体" w:eastAsia="仿宋_GB2312" w:cs="Times New Roman"/>
          <w:snapToGrid w:val="0"/>
          <w:color w:val="444444"/>
          <w:spacing w:val="4"/>
          <w:kern w:val="0"/>
          <w:sz w:val="32"/>
          <w:szCs w:val="32"/>
        </w:rPr>
        <w:t>涉及重大或者复杂的行政处罚裁量，应当集体研究，依法作出决定。</w:t>
      </w:r>
    </w:p>
    <w:p>
      <w:pPr>
        <w:spacing w:line="600" w:lineRule="exact"/>
        <w:ind w:firstLine="656" w:firstLineChars="200"/>
        <w:rPr>
          <w:rFonts w:ascii="宋体" w:hAnsi="宋体" w:eastAsia="仿宋_GB2312" w:cs="Times New Roman"/>
          <w:snapToGrid w:val="0"/>
          <w:color w:val="444444"/>
          <w:spacing w:val="4"/>
          <w:sz w:val="32"/>
          <w:szCs w:val="32"/>
        </w:rPr>
      </w:pPr>
      <w:r>
        <w:rPr>
          <w:rFonts w:hint="eastAsia" w:ascii="宋体" w:hAnsi="宋体" w:eastAsia="仿宋_GB2312" w:cs="Times New Roman"/>
          <w:snapToGrid w:val="0"/>
          <w:color w:val="444444"/>
          <w:spacing w:val="4"/>
          <w:kern w:val="0"/>
          <w:sz w:val="32"/>
          <w:szCs w:val="32"/>
        </w:rPr>
        <w:t>行政机关负责人集体讨论行政处罚案件，应当在依法履行行政处罚告知、听证程序之后、作出行政处罚决定之前进行。</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第二十五条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对情节复杂或者重大违法行为给予行政处罚的，处罚决定作出前，应当由卫生健康行政部门的法制机构进行审核。其他普通类案件，可以由监督执法机构的法制科室进行审核。</w:t>
      </w:r>
    </w:p>
    <w:p>
      <w:pPr>
        <w:tabs>
          <w:tab w:val="left" w:pos="8946"/>
        </w:tabs>
        <w:spacing w:line="560" w:lineRule="exact"/>
        <w:ind w:firstLine="614" w:firstLineChars="192"/>
        <w:rPr>
          <w:rFonts w:ascii="仿宋_GB2312" w:hAnsi="仿宋_GB2312" w:eastAsia="仿宋_GB2312" w:cs="仿宋_GB2312"/>
          <w:kern w:val="32"/>
          <w:sz w:val="32"/>
          <w:szCs w:val="32"/>
        </w:rPr>
      </w:pPr>
      <w:r>
        <w:rPr>
          <w:rFonts w:hint="eastAsia" w:ascii="仿宋_GB2312" w:hAnsi="仿宋_GB2312" w:eastAsia="仿宋_GB2312" w:cs="仿宋_GB2312"/>
          <w:kern w:val="32"/>
          <w:sz w:val="32"/>
          <w:szCs w:val="32"/>
        </w:rPr>
        <w:t>办案机构建议不予行政处罚、减轻行政处罚、从轻行政处罚、从重行政处罚的，审核机构要审查是否说明理由并附有相应的证据材料；如未说明理由并附相应的证据材料，或者相应的证据材料不足，退回办案机构补正，或者建议办案机构改变处罚建议；办案机构不予补正或者不改变处罚建议的，审核机构不同意办案机构处罚建议。无法达成一致处罚建议的，提交执法机关行政负责人办公会议讨论决定。</w:t>
      </w:r>
    </w:p>
    <w:p>
      <w:pPr>
        <w:spacing w:line="600" w:lineRule="exact"/>
        <w:ind w:firstLine="656" w:firstLineChars="200"/>
        <w:rPr>
          <w:rFonts w:ascii="宋体" w:hAnsi="宋体" w:eastAsia="仿宋_GB2312" w:cs="Times New Roman"/>
          <w:snapToGrid w:val="0"/>
          <w:spacing w:val="4"/>
          <w:kern w:val="0"/>
          <w:sz w:val="32"/>
          <w:szCs w:val="32"/>
        </w:rPr>
      </w:pPr>
      <w:r>
        <w:rPr>
          <w:rFonts w:hint="eastAsia" w:ascii="宋体" w:hAnsi="宋体" w:eastAsia="仿宋_GB2312" w:cs="Times New Roman"/>
          <w:snapToGrid w:val="0"/>
          <w:spacing w:val="4"/>
          <w:kern w:val="0"/>
          <w:sz w:val="32"/>
          <w:szCs w:val="32"/>
        </w:rPr>
        <w:t>未经审核或者审核未通过的，不得作出决定。</w:t>
      </w:r>
    </w:p>
    <w:p>
      <w:pPr>
        <w:spacing w:line="600" w:lineRule="exact"/>
        <w:ind w:firstLine="656" w:firstLineChars="200"/>
        <w:rPr>
          <w:rFonts w:ascii="宋体" w:hAnsi="宋体" w:eastAsia="仿宋_GB2312" w:cs="Times New Roman"/>
          <w:b w:val="0"/>
          <w:snapToGrid w:val="0"/>
          <w:spacing w:val="4"/>
          <w:kern w:val="0"/>
          <w:sz w:val="32"/>
          <w:szCs w:val="32"/>
        </w:rPr>
      </w:pPr>
      <w:r>
        <w:rPr>
          <w:rFonts w:hint="eastAsia" w:ascii="黑体" w:hAnsi="黑体" w:eastAsia="黑体" w:cs="Times New Roman"/>
          <w:snapToGrid w:val="0"/>
          <w:spacing w:val="4"/>
          <w:kern w:val="0"/>
          <w:sz w:val="32"/>
          <w:szCs w:val="32"/>
        </w:rPr>
        <w:t>第二十六条</w:t>
      </w:r>
      <w:r>
        <w:rPr>
          <w:rFonts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spacing w:val="4"/>
          <w:kern w:val="0"/>
          <w:sz w:val="32"/>
          <w:szCs w:val="32"/>
        </w:rPr>
        <w:t>行使自由裁量权的，应当在行政处罚事先告知书和行政处罚决定书中分别</w:t>
      </w:r>
      <w:r>
        <w:rPr>
          <w:rFonts w:hint="eastAsia" w:ascii="宋体" w:hAnsi="宋体" w:eastAsia="仿宋_GB2312" w:cs="Times New Roman"/>
          <w:snapToGrid w:val="0"/>
          <w:color w:val="auto"/>
          <w:spacing w:val="4"/>
          <w:kern w:val="0"/>
          <w:sz w:val="32"/>
          <w:szCs w:val="32"/>
          <w:highlight w:val="none"/>
        </w:rPr>
        <w:t>对</w:t>
      </w:r>
      <w:r>
        <w:rPr>
          <w:rFonts w:hint="eastAsia" w:ascii="宋体" w:hAnsi="宋体" w:eastAsia="仿宋_GB2312" w:cs="Times New Roman"/>
          <w:snapToGrid w:val="0"/>
          <w:spacing w:val="4"/>
          <w:kern w:val="0"/>
          <w:sz w:val="32"/>
          <w:szCs w:val="32"/>
        </w:rPr>
        <w:t>行使行政处罚裁量权的事实、理由和依据</w:t>
      </w:r>
      <w:r>
        <w:rPr>
          <w:rFonts w:hint="eastAsia" w:ascii="宋体" w:hAnsi="宋体" w:eastAsia="仿宋_GB2312" w:cs="Times New Roman"/>
          <w:snapToGrid w:val="0"/>
          <w:color w:val="auto"/>
          <w:spacing w:val="4"/>
          <w:kern w:val="0"/>
          <w:sz w:val="32"/>
          <w:szCs w:val="32"/>
          <w:highlight w:val="none"/>
        </w:rPr>
        <w:t>予以</w:t>
      </w:r>
      <w:r>
        <w:rPr>
          <w:rFonts w:hint="eastAsia" w:ascii="宋体" w:hAnsi="宋体" w:eastAsia="仿宋_GB2312" w:cs="Times New Roman"/>
          <w:snapToGrid w:val="0"/>
          <w:spacing w:val="4"/>
          <w:kern w:val="0"/>
          <w:sz w:val="32"/>
          <w:szCs w:val="32"/>
        </w:rPr>
        <w:t>说明，依法保障当事人的知情权、参与权和救济权。</w:t>
      </w:r>
    </w:p>
    <w:p>
      <w:pPr>
        <w:spacing w:line="600" w:lineRule="exact"/>
        <w:jc w:val="center"/>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第四章  监督管理</w:t>
      </w:r>
    </w:p>
    <w:p>
      <w:pPr>
        <w:spacing w:line="600" w:lineRule="exact"/>
        <w:ind w:firstLine="656" w:firstLineChars="200"/>
        <w:rPr>
          <w:rFonts w:ascii="黑体" w:hAnsi="黑体" w:eastAsia="黑体" w:cs="Times New Roman"/>
          <w:b/>
          <w:snapToGrid w:val="0"/>
          <w:spacing w:val="4"/>
          <w:kern w:val="0"/>
          <w:sz w:val="32"/>
          <w:szCs w:val="32"/>
        </w:rPr>
      </w:pPr>
      <w:r>
        <w:rPr>
          <w:rFonts w:hint="eastAsia" w:ascii="黑体" w:hAnsi="黑体" w:eastAsia="黑体" w:cs="Times New Roman"/>
          <w:snapToGrid w:val="0"/>
          <w:spacing w:val="4"/>
          <w:kern w:val="0"/>
          <w:sz w:val="32"/>
          <w:szCs w:val="32"/>
        </w:rPr>
        <w:t>第二十七条</w:t>
      </w:r>
      <w:r>
        <w:rPr>
          <w:rFonts w:hint="eastAsia" w:ascii="宋体" w:hAnsi="宋体" w:eastAsia="仿宋_GB2312" w:cs="Times New Roman"/>
          <w:snapToGrid w:val="0"/>
          <w:spacing w:val="4"/>
          <w:kern w:val="0"/>
          <w:sz w:val="32"/>
          <w:szCs w:val="32"/>
        </w:rPr>
        <w:t xml:space="preserve">  </w:t>
      </w:r>
      <w:r>
        <w:rPr>
          <w:rFonts w:hint="eastAsia" w:ascii="宋体" w:hAnsi="宋体" w:eastAsia="仿宋_GB2312" w:cs="Times New Roman"/>
          <w:snapToGrid w:val="0"/>
          <w:color w:val="auto"/>
          <w:spacing w:val="4"/>
          <w:kern w:val="0"/>
          <w:sz w:val="32"/>
          <w:szCs w:val="32"/>
        </w:rPr>
        <w:t>上级</w:t>
      </w:r>
      <w:r>
        <w:rPr>
          <w:rFonts w:hint="eastAsia" w:ascii="宋体" w:hAnsi="宋体" w:eastAsia="仿宋_GB2312" w:cs="Times New Roman"/>
          <w:snapToGrid w:val="0"/>
          <w:color w:val="auto"/>
          <w:spacing w:val="4"/>
          <w:kern w:val="0"/>
          <w:sz w:val="32"/>
          <w:szCs w:val="32"/>
        </w:rPr>
        <w:t>卫生健康</w:t>
      </w:r>
      <w:r>
        <w:rPr>
          <w:rFonts w:hint="eastAsia" w:ascii="宋体" w:hAnsi="宋体" w:eastAsia="仿宋_GB2312" w:cs="Times New Roman"/>
          <w:snapToGrid w:val="0"/>
          <w:spacing w:val="4"/>
          <w:kern w:val="0"/>
          <w:sz w:val="32"/>
          <w:szCs w:val="32"/>
        </w:rPr>
        <w:t>执法机关</w:t>
      </w:r>
      <w:r>
        <w:rPr>
          <w:rFonts w:hint="eastAsia" w:ascii="宋体" w:hAnsi="宋体" w:eastAsia="仿宋_GB2312" w:cs="Times New Roman"/>
          <w:snapToGrid w:val="0"/>
          <w:color w:val="auto"/>
          <w:spacing w:val="4"/>
          <w:kern w:val="0"/>
          <w:sz w:val="32"/>
          <w:szCs w:val="32"/>
        </w:rPr>
        <w:t>通过考核、</w:t>
      </w:r>
      <w:r>
        <w:rPr>
          <w:rFonts w:hint="eastAsia" w:ascii="宋体" w:hAnsi="宋体" w:eastAsia="仿宋_GB2312" w:cs="Times New Roman"/>
          <w:snapToGrid w:val="0"/>
          <w:spacing w:val="4"/>
          <w:kern w:val="0"/>
          <w:sz w:val="32"/>
          <w:szCs w:val="32"/>
        </w:rPr>
        <w:t>稽查</w:t>
      </w:r>
      <w:r>
        <w:rPr>
          <w:rFonts w:hint="eastAsia" w:ascii="宋体" w:hAnsi="宋体" w:eastAsia="仿宋_GB2312" w:cs="Times New Roman"/>
          <w:snapToGrid w:val="0"/>
          <w:color w:val="auto"/>
          <w:spacing w:val="4"/>
          <w:kern w:val="0"/>
          <w:sz w:val="32"/>
          <w:szCs w:val="32"/>
        </w:rPr>
        <w:t>、案卷评查等形式对下级</w:t>
      </w:r>
      <w:r>
        <w:rPr>
          <w:rFonts w:hint="eastAsia" w:ascii="宋体" w:hAnsi="宋体" w:eastAsia="仿宋_GB2312" w:cs="Times New Roman"/>
          <w:snapToGrid w:val="0"/>
          <w:spacing w:val="4"/>
          <w:kern w:val="0"/>
          <w:sz w:val="32"/>
          <w:szCs w:val="32"/>
        </w:rPr>
        <w:t>机关</w:t>
      </w:r>
      <w:r>
        <w:rPr>
          <w:rFonts w:hint="eastAsia" w:ascii="宋体" w:hAnsi="宋体" w:eastAsia="仿宋_GB2312" w:cs="Times New Roman"/>
          <w:snapToGrid w:val="0"/>
          <w:color w:val="auto"/>
          <w:spacing w:val="4"/>
          <w:kern w:val="0"/>
          <w:sz w:val="32"/>
          <w:szCs w:val="32"/>
        </w:rPr>
        <w:t>行使自由裁量权情况进行监督。</w:t>
      </w:r>
    </w:p>
    <w:p>
      <w:pPr>
        <w:spacing w:line="600" w:lineRule="exact"/>
        <w:ind w:firstLine="66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kern w:val="0"/>
          <w:sz w:val="32"/>
          <w:szCs w:val="32"/>
        </w:rPr>
        <w:t>第二十八条</w:t>
      </w:r>
      <w:r>
        <w:rPr>
          <w:rFonts w:hint="eastAsia" w:ascii="宋体" w:hAnsi="宋体" w:eastAsia="仿宋_GB2312" w:cs="Times New Roman"/>
          <w:snapToGrid w:val="0"/>
          <w:spacing w:val="4"/>
          <w:kern w:val="0"/>
          <w:sz w:val="32"/>
          <w:szCs w:val="32"/>
        </w:rPr>
        <w:t xml:space="preserve">  上级卫生健康执法机关对下级机关承办的行政处罚案件进行检查，发现自由裁量权行使不当，侵害公民、法人或者其他组织合法权益的，</w:t>
      </w:r>
      <w:r>
        <w:rPr>
          <w:rFonts w:hint="eastAsia" w:ascii="宋体" w:hAnsi="宋体" w:eastAsia="仿宋_GB2312" w:cs="Times New Roman"/>
          <w:snapToGrid w:val="0"/>
          <w:spacing w:val="4"/>
          <w:kern w:val="0"/>
          <w:sz w:val="32"/>
          <w:szCs w:val="32"/>
          <w:highlight w:val="none"/>
        </w:rPr>
        <w:t>可以</w:t>
      </w:r>
      <w:r>
        <w:rPr>
          <w:rFonts w:hint="eastAsia" w:ascii="宋体" w:hAnsi="宋体" w:eastAsia="仿宋_GB2312" w:cs="Times New Roman"/>
          <w:snapToGrid w:val="0"/>
          <w:spacing w:val="4"/>
          <w:kern w:val="0"/>
          <w:sz w:val="32"/>
          <w:szCs w:val="32"/>
        </w:rPr>
        <w:t>责令</w:t>
      </w:r>
      <w:r>
        <w:rPr>
          <w:rFonts w:hint="eastAsia" w:ascii="宋体" w:hAnsi="宋体" w:eastAsia="仿宋_GB2312" w:cs="Times New Roman"/>
          <w:snapToGrid w:val="0"/>
          <w:spacing w:val="4"/>
          <w:kern w:val="0"/>
          <w:sz w:val="32"/>
          <w:szCs w:val="32"/>
          <w:highlight w:val="none"/>
        </w:rPr>
        <w:t>其改正</w:t>
      </w:r>
      <w:r>
        <w:rPr>
          <w:rFonts w:hint="eastAsia" w:ascii="宋体" w:hAnsi="宋体" w:eastAsia="仿宋_GB2312" w:cs="Times New Roman"/>
          <w:snapToGrid w:val="0"/>
          <w:spacing w:val="4"/>
          <w:kern w:val="0"/>
          <w:sz w:val="32"/>
          <w:szCs w:val="32"/>
        </w:rPr>
        <w:t>。</w:t>
      </w:r>
    </w:p>
    <w:p>
      <w:pPr>
        <w:spacing w:line="600" w:lineRule="exact"/>
        <w:ind w:firstLine="656" w:firstLineChars="200"/>
        <w:rPr>
          <w:rFonts w:ascii="宋体" w:hAnsi="宋体" w:eastAsia="仿宋_GB2312" w:cs="Times New Roman"/>
          <w:b w:val="0"/>
          <w:snapToGrid w:val="0"/>
          <w:spacing w:val="4"/>
          <w:kern w:val="0"/>
          <w:sz w:val="32"/>
          <w:szCs w:val="32"/>
        </w:rPr>
      </w:pPr>
      <w:r>
        <w:rPr>
          <w:rFonts w:hint="eastAsia" w:ascii="黑体" w:hAnsi="黑体" w:eastAsia="黑体" w:cs="Times New Roman"/>
          <w:snapToGrid w:val="0"/>
          <w:spacing w:val="4"/>
          <w:kern w:val="0"/>
          <w:sz w:val="32"/>
          <w:szCs w:val="32"/>
        </w:rPr>
        <w:t>第二十九条</w:t>
      </w:r>
      <w:r>
        <w:rPr>
          <w:rFonts w:hint="eastAsia" w:ascii="宋体" w:hAnsi="宋体" w:eastAsia="仿宋_GB2312" w:cs="Times New Roman"/>
          <w:snapToGrid w:val="0"/>
          <w:spacing w:val="4"/>
          <w:kern w:val="0"/>
          <w:sz w:val="32"/>
          <w:szCs w:val="32"/>
        </w:rPr>
        <w:t xml:space="preserve">  对违反法律、法规、规章和本规则及《指导标准》规定实施行政处罚，</w:t>
      </w:r>
      <w:r>
        <w:rPr>
          <w:rFonts w:hint="eastAsia" w:ascii="宋体" w:hAnsi="宋体" w:eastAsia="仿宋_GB2312" w:cs="Times New Roman"/>
          <w:snapToGrid w:val="0"/>
          <w:color w:val="auto"/>
          <w:spacing w:val="4"/>
          <w:kern w:val="0"/>
          <w:sz w:val="32"/>
          <w:szCs w:val="32"/>
          <w:shd w:val="clear" w:color="auto" w:fill="auto"/>
        </w:rPr>
        <w:t>徇私舞弊，</w:t>
      </w:r>
      <w:r>
        <w:rPr>
          <w:rFonts w:hint="eastAsia" w:ascii="宋体" w:hAnsi="宋体" w:eastAsia="仿宋_GB2312" w:cs="Times New Roman"/>
          <w:snapToGrid w:val="0"/>
          <w:spacing w:val="4"/>
          <w:kern w:val="0"/>
          <w:sz w:val="32"/>
          <w:szCs w:val="32"/>
        </w:rPr>
        <w:t>滥用自由裁量权，构成行政执法过错的，按照有关规定依法追究过错责任人的有关责任。</w:t>
      </w:r>
      <w:r>
        <w:rPr>
          <w:rFonts w:ascii="宋体" w:hAnsi="宋体" w:eastAsia="仿宋_GB2312" w:cs="Times New Roman"/>
          <w:snapToGrid w:val="0"/>
          <w:spacing w:val="4"/>
          <w:kern w:val="0"/>
          <w:sz w:val="32"/>
          <w:szCs w:val="32"/>
        </w:rPr>
        <w:t xml:space="preserve"> </w:t>
      </w:r>
    </w:p>
    <w:p>
      <w:pPr>
        <w:spacing w:line="600" w:lineRule="exact"/>
        <w:jc w:val="center"/>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第五章  附则</w:t>
      </w:r>
    </w:p>
    <w:p>
      <w:pPr>
        <w:spacing w:line="600" w:lineRule="exact"/>
        <w:ind w:firstLine="656" w:firstLineChars="200"/>
        <w:rPr>
          <w:rFonts w:ascii="黑体" w:hAnsi="黑体" w:eastAsia="黑体" w:cs="Times New Roman"/>
          <w:snapToGrid w:val="0"/>
          <w:spacing w:val="4"/>
          <w:kern w:val="0"/>
          <w:sz w:val="32"/>
          <w:szCs w:val="32"/>
        </w:rPr>
      </w:pPr>
      <w:r>
        <w:rPr>
          <w:rFonts w:hint="eastAsia" w:ascii="黑体" w:hAnsi="黑体" w:eastAsia="黑体" w:cs="Times New Roman"/>
          <w:snapToGrid w:val="0"/>
          <w:spacing w:val="4"/>
          <w:kern w:val="0"/>
          <w:sz w:val="32"/>
          <w:szCs w:val="32"/>
        </w:rPr>
        <w:t>第三十条</w:t>
      </w:r>
      <w:r>
        <w:rPr>
          <w:rFonts w:hint="eastAsia" w:ascii="宋体" w:hAnsi="宋体" w:eastAsia="仿宋_GB2312" w:cs="Times New Roman"/>
          <w:snapToGrid w:val="0"/>
          <w:spacing w:val="4"/>
          <w:kern w:val="0"/>
          <w:sz w:val="32"/>
          <w:szCs w:val="32"/>
        </w:rPr>
        <w:t xml:space="preserve">  本规则由湖北省卫生健康委员会负责解释</w:t>
      </w:r>
      <w:r>
        <w:rPr>
          <w:rFonts w:hint="eastAsia" w:ascii="黑体" w:hAnsi="黑体" w:eastAsia="黑体" w:cs="Times New Roman"/>
          <w:snapToGrid w:val="0"/>
          <w:spacing w:val="4"/>
          <w:kern w:val="0"/>
          <w:sz w:val="32"/>
          <w:szCs w:val="32"/>
        </w:rPr>
        <w:t>。</w:t>
      </w:r>
    </w:p>
    <w:p>
      <w:pPr>
        <w:spacing w:line="560" w:lineRule="exact"/>
        <w:ind w:firstLine="656" w:firstLineChars="200"/>
        <w:rPr>
          <w:rFonts w:ascii="仿宋_GB2312" w:hAnsi="仿宋_GB2312" w:eastAsia="仿宋_GB2312" w:cs="仿宋_GB2312"/>
          <w:kern w:val="32"/>
          <w:sz w:val="32"/>
          <w:szCs w:val="24"/>
        </w:rPr>
      </w:pPr>
      <w:r>
        <w:rPr>
          <w:rFonts w:hint="eastAsia" w:ascii="黑体" w:hAnsi="黑体" w:eastAsia="黑体" w:cs="Times New Roman"/>
          <w:snapToGrid w:val="0"/>
          <w:spacing w:val="4"/>
          <w:sz w:val="32"/>
          <w:szCs w:val="32"/>
        </w:rPr>
        <w:t xml:space="preserve">第三十一条  </w:t>
      </w:r>
      <w:r>
        <w:rPr>
          <w:rFonts w:hint="eastAsia" w:ascii="宋体" w:hAnsi="宋体" w:eastAsia="仿宋_GB2312" w:cs="Times New Roman"/>
          <w:snapToGrid w:val="0"/>
          <w:spacing w:val="4"/>
          <w:sz w:val="32"/>
          <w:szCs w:val="32"/>
        </w:rPr>
        <w:t>本</w:t>
      </w:r>
      <w:r>
        <w:rPr>
          <w:rFonts w:hint="eastAsia" w:eastAsia="仿宋_GB2312" w:cs="Times New Roman"/>
          <w:snapToGrid w:val="0"/>
          <w:spacing w:val="4"/>
          <w:sz w:val="32"/>
          <w:szCs w:val="32"/>
        </w:rPr>
        <w:t>规则</w:t>
      </w:r>
      <w:r>
        <w:rPr>
          <w:rFonts w:hint="eastAsia" w:ascii="宋体" w:hAnsi="宋体" w:eastAsia="仿宋_GB2312" w:cs="Times New Roman"/>
          <w:snapToGrid w:val="0"/>
          <w:spacing w:val="4"/>
          <w:sz w:val="32"/>
          <w:szCs w:val="32"/>
        </w:rPr>
        <w:t>所称减轻处罚，是指</w:t>
      </w:r>
      <w:r>
        <w:rPr>
          <w:rFonts w:hint="eastAsia" w:ascii="仿宋_GB2312" w:hAnsi="仿宋_GB2312" w:eastAsia="仿宋_GB2312" w:cs="仿宋_GB2312"/>
          <w:kern w:val="32"/>
          <w:sz w:val="32"/>
          <w:szCs w:val="24"/>
        </w:rPr>
        <w:t>对违法行为在依法可能受到的一种或几种处罚种类之外选择更轻的处罚种类或在一种行政处罚种类允许的幅度最低限以下予以处罚,包括在法律条文规定应当并处时未选择并处。</w:t>
      </w:r>
    </w:p>
    <w:p>
      <w:pPr>
        <w:spacing w:line="560" w:lineRule="exact"/>
        <w:ind w:firstLine="640"/>
        <w:rPr>
          <w:rFonts w:ascii="宋体" w:hAnsi="宋体" w:eastAsia="仿宋_GB2312" w:cs="Times New Roman"/>
          <w:snapToGrid w:val="0"/>
          <w:spacing w:val="4"/>
          <w:kern w:val="0"/>
          <w:sz w:val="32"/>
          <w:szCs w:val="32"/>
        </w:rPr>
      </w:pPr>
      <w:r>
        <w:rPr>
          <w:rFonts w:hint="eastAsia" w:ascii="黑体" w:hAnsi="黑体" w:eastAsia="黑体" w:cs="Times New Roman"/>
          <w:snapToGrid w:val="0"/>
          <w:spacing w:val="4"/>
          <w:sz w:val="32"/>
          <w:szCs w:val="32"/>
        </w:rPr>
        <w:t>第三十二条</w:t>
      </w:r>
      <w:r>
        <w:rPr>
          <w:rFonts w:hint="eastAsia" w:eastAsia="仿宋_GB2312" w:cs="Times New Roman"/>
          <w:snapToGrid w:val="0"/>
          <w:spacing w:val="4"/>
          <w:sz w:val="32"/>
          <w:szCs w:val="32"/>
        </w:rPr>
        <w:t xml:space="preserve">  </w:t>
      </w:r>
      <w:r>
        <w:rPr>
          <w:rFonts w:hint="eastAsia" w:ascii="宋体" w:hAnsi="宋体" w:eastAsia="仿宋_GB2312" w:cs="Times New Roman"/>
          <w:snapToGrid w:val="0"/>
          <w:spacing w:val="4"/>
          <w:kern w:val="0"/>
          <w:sz w:val="32"/>
          <w:szCs w:val="32"/>
        </w:rPr>
        <w:t>本规则所称从轻行政处罚，是指对违法行为在依法可能受到的几种处罚种类中选择较轻的处罚种类，或在一种行政处罚种类允许的幅度内选择较低限度或最低限度予以处罚。根据《指导标准》确定轻微、一般、从重等阶次的裁量基准范围，再根据从轻处罚情形，在本阶次的裁量基准范围内确定较低限度或最低限度予以处罚，视为从轻处罚。</w:t>
      </w:r>
    </w:p>
    <w:p>
      <w:pPr>
        <w:pStyle w:val="5"/>
        <w:widowControl w:val="0"/>
        <w:shd w:val="clear" w:color="auto" w:fill="FFFFFF"/>
        <w:spacing w:line="600" w:lineRule="exact"/>
        <w:ind w:firstLine="641"/>
        <w:jc w:val="both"/>
        <w:rPr>
          <w:rFonts w:eastAsia="仿宋_GB2312" w:cs="Times New Roman"/>
          <w:snapToGrid w:val="0"/>
          <w:spacing w:val="4"/>
          <w:sz w:val="32"/>
          <w:szCs w:val="32"/>
        </w:rPr>
      </w:pPr>
      <w:r>
        <w:rPr>
          <w:rFonts w:hint="eastAsia" w:ascii="黑体" w:hAnsi="黑体" w:eastAsia="黑体" w:cs="Times New Roman"/>
          <w:snapToGrid w:val="0"/>
          <w:spacing w:val="4"/>
          <w:sz w:val="32"/>
          <w:szCs w:val="32"/>
        </w:rPr>
        <w:t>第三十三条</w:t>
      </w:r>
      <w:r>
        <w:rPr>
          <w:rFonts w:hint="eastAsia" w:eastAsia="仿宋_GB2312" w:cs="Times New Roman"/>
          <w:snapToGrid w:val="0"/>
          <w:spacing w:val="4"/>
          <w:sz w:val="32"/>
          <w:szCs w:val="32"/>
        </w:rPr>
        <w:t xml:space="preserve">  本规则所称从重行政处罚，是指对违法行为在依法可能受到的几种处罚种类中选择较重的处罚种类，或在一种行政处罚种类允许的幅度内选择较高限度或最高限度予以处罚。根据《指导标准》确定轻微、一般、从重等阶次的裁量基准范围，在本阶次的裁量基准范围内，选择较高限度或最高限度予以处罚，视为从重处罚。</w:t>
      </w:r>
    </w:p>
    <w:p>
      <w:pPr>
        <w:spacing w:line="600" w:lineRule="exact"/>
        <w:ind w:firstLine="656" w:firstLineChars="200"/>
        <w:rPr>
          <w:rFonts w:ascii="宋体" w:hAnsi="宋体" w:eastAsia="仿宋_GB2312"/>
          <w:b/>
          <w:snapToGrid w:val="0"/>
          <w:spacing w:val="4"/>
          <w:kern w:val="0"/>
          <w:sz w:val="32"/>
          <w:szCs w:val="32"/>
        </w:rPr>
      </w:pPr>
      <w:r>
        <w:rPr>
          <w:rFonts w:hint="eastAsia" w:ascii="黑体" w:hAnsi="黑体" w:eastAsia="黑体"/>
          <w:snapToGrid w:val="0"/>
          <w:spacing w:val="4"/>
          <w:kern w:val="0"/>
          <w:sz w:val="32"/>
          <w:szCs w:val="32"/>
        </w:rPr>
        <w:t>第三十四条</w:t>
      </w:r>
      <w:r>
        <w:rPr>
          <w:rFonts w:ascii="黑体" w:hAnsi="黑体" w:eastAsia="黑体"/>
          <w:snapToGrid w:val="0"/>
          <w:spacing w:val="4"/>
          <w:kern w:val="0"/>
          <w:sz w:val="32"/>
          <w:szCs w:val="32"/>
        </w:rPr>
        <w:t xml:space="preserve"> </w:t>
      </w:r>
      <w:r>
        <w:rPr>
          <w:rFonts w:ascii="宋体" w:hAnsi="宋体" w:eastAsia="仿宋_GB2312"/>
          <w:snapToGrid w:val="0"/>
          <w:spacing w:val="4"/>
          <w:kern w:val="0"/>
          <w:sz w:val="32"/>
          <w:szCs w:val="32"/>
        </w:rPr>
        <w:t xml:space="preserve"> </w:t>
      </w:r>
      <w:r>
        <w:rPr>
          <w:rFonts w:hint="eastAsia" w:ascii="宋体" w:hAnsi="宋体" w:eastAsia="仿宋_GB2312"/>
          <w:snapToGrid w:val="0"/>
          <w:spacing w:val="4"/>
          <w:kern w:val="0"/>
          <w:sz w:val="32"/>
          <w:szCs w:val="32"/>
        </w:rPr>
        <w:t>法律、法规、规章与本规则不一致的，从其规定。</w:t>
      </w:r>
    </w:p>
    <w:p>
      <w:pPr>
        <w:adjustRightInd w:val="0"/>
        <w:snapToGrid w:val="0"/>
        <w:spacing w:line="600" w:lineRule="exact"/>
        <w:ind w:firstLine="656" w:firstLineChars="200"/>
        <w:rPr>
          <w:rFonts w:ascii="黑体" w:hAnsi="黑体" w:eastAsia="黑体" w:cs="Times New Roman"/>
          <w:snapToGrid w:val="0"/>
          <w:spacing w:val="4"/>
          <w:kern w:val="0"/>
          <w:sz w:val="32"/>
          <w:szCs w:val="32"/>
        </w:rPr>
      </w:pPr>
      <w:r>
        <w:rPr>
          <w:rFonts w:hint="eastAsia" w:ascii="黑体" w:hAnsi="黑体" w:eastAsia="黑体"/>
          <w:snapToGrid w:val="0"/>
          <w:spacing w:val="4"/>
          <w:kern w:val="0"/>
          <w:sz w:val="32"/>
          <w:szCs w:val="32"/>
        </w:rPr>
        <w:t>第三十五条</w:t>
      </w:r>
      <w:r>
        <w:rPr>
          <w:rFonts w:ascii="宋体" w:hAnsi="宋体" w:eastAsia="仿宋_GB2312"/>
          <w:snapToGrid w:val="0"/>
          <w:spacing w:val="4"/>
          <w:kern w:val="0"/>
          <w:sz w:val="32"/>
          <w:szCs w:val="32"/>
        </w:rPr>
        <w:t xml:space="preserve">  </w:t>
      </w:r>
      <w:r>
        <w:rPr>
          <w:rFonts w:hint="eastAsia" w:ascii="宋体" w:hAnsi="宋体" w:eastAsia="仿宋_GB2312"/>
          <w:snapToGrid w:val="0"/>
          <w:spacing w:val="4"/>
          <w:kern w:val="0"/>
          <w:sz w:val="32"/>
          <w:szCs w:val="32"/>
        </w:rPr>
        <w:t>本规则自发文之日起执行，有效期</w:t>
      </w:r>
      <w:r>
        <w:rPr>
          <w:rFonts w:ascii="宋体" w:hAnsi="宋体" w:eastAsia="仿宋_GB2312"/>
          <w:snapToGrid w:val="0"/>
          <w:spacing w:val="4"/>
          <w:kern w:val="0"/>
          <w:sz w:val="32"/>
          <w:szCs w:val="32"/>
        </w:rPr>
        <w:t>5</w:t>
      </w:r>
      <w:r>
        <w:rPr>
          <w:rFonts w:hint="eastAsia" w:ascii="宋体" w:hAnsi="宋体" w:eastAsia="仿宋_GB2312"/>
          <w:snapToGrid w:val="0"/>
          <w:spacing w:val="4"/>
          <w:kern w:val="0"/>
          <w:sz w:val="32"/>
          <w:szCs w:val="32"/>
        </w:rPr>
        <w:t>年。省卫生健康委</w:t>
      </w:r>
      <w:r>
        <w:rPr>
          <w:rFonts w:ascii="宋体" w:hAnsi="宋体" w:eastAsia="仿宋_GB2312"/>
          <w:snapToGrid w:val="0"/>
          <w:spacing w:val="4"/>
          <w:kern w:val="0"/>
          <w:sz w:val="32"/>
          <w:szCs w:val="32"/>
        </w:rPr>
        <w:t>2020</w:t>
      </w:r>
      <w:r>
        <w:rPr>
          <w:rFonts w:hint="eastAsia" w:ascii="宋体" w:hAnsi="宋体" w:eastAsia="仿宋_GB2312"/>
          <w:snapToGrid w:val="0"/>
          <w:spacing w:val="4"/>
          <w:kern w:val="0"/>
          <w:sz w:val="32"/>
          <w:szCs w:val="32"/>
        </w:rPr>
        <w:t>年</w:t>
      </w:r>
      <w:r>
        <w:rPr>
          <w:rFonts w:ascii="宋体" w:hAnsi="宋体" w:eastAsia="仿宋_GB2312"/>
          <w:snapToGrid w:val="0"/>
          <w:spacing w:val="4"/>
          <w:kern w:val="0"/>
          <w:sz w:val="32"/>
          <w:szCs w:val="32"/>
        </w:rPr>
        <w:t>12</w:t>
      </w:r>
      <w:r>
        <w:rPr>
          <w:rFonts w:hint="eastAsia" w:ascii="宋体" w:hAnsi="宋体" w:eastAsia="仿宋_GB2312"/>
          <w:snapToGrid w:val="0"/>
          <w:spacing w:val="4"/>
          <w:kern w:val="0"/>
          <w:sz w:val="32"/>
          <w:szCs w:val="32"/>
        </w:rPr>
        <w:t>月</w:t>
      </w:r>
      <w:r>
        <w:rPr>
          <w:rFonts w:ascii="宋体" w:hAnsi="宋体" w:eastAsia="仿宋_GB2312"/>
          <w:snapToGrid w:val="0"/>
          <w:spacing w:val="4"/>
          <w:kern w:val="0"/>
          <w:sz w:val="32"/>
          <w:szCs w:val="32"/>
        </w:rPr>
        <w:t>24</w:t>
      </w:r>
      <w:r>
        <w:rPr>
          <w:rFonts w:hint="eastAsia" w:ascii="宋体" w:hAnsi="宋体" w:eastAsia="仿宋_GB2312"/>
          <w:snapToGrid w:val="0"/>
          <w:spacing w:val="4"/>
          <w:kern w:val="0"/>
          <w:sz w:val="32"/>
          <w:szCs w:val="32"/>
        </w:rPr>
        <w:t>日印发的《湖北省规范卫生健康行政处罚自由裁量权指导规则》及《湖北省卫生健康行政处罚自由裁量权指导标准》即行废止。</w:t>
      </w:r>
    </w:p>
    <w:p>
      <w:pPr>
        <w:adjustRightInd w:val="0"/>
        <w:snapToGrid w:val="0"/>
        <w:spacing w:line="600" w:lineRule="exact"/>
        <w:jc w:val="center"/>
      </w:pPr>
    </w:p>
    <w:sectPr>
      <w:pgSz w:w="12240" w:h="15840"/>
      <w:pgMar w:top="1440" w:right="1800" w:bottom="1440" w:left="180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华康简标题宋">
    <w:altName w:val="方正书宋_GBK"/>
    <w:panose1 w:val="00000000000000000000"/>
    <w:charset w:val="86"/>
    <w:family w:val="modern"/>
    <w:pitch w:val="default"/>
    <w:sig w:usb0="00000000" w:usb1="00000000" w:usb2="0000001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roman"/>
    <w:pitch w:val="default"/>
    <w:sig w:usb0="00000001" w:usb1="08000000" w:usb2="00000000" w:usb3="00000000" w:csb0="00040000" w:csb1="00000000"/>
  </w:font>
  <w:font w:name="方正楷体_GBK">
    <w:panose1 w:val="02000000000000000000"/>
    <w:charset w:val="86"/>
    <w:family w:val="roman"/>
    <w:pitch w:val="default"/>
    <w:sig w:usb0="00000001" w:usb1="0800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Tahoma">
    <w:altName w:val="DejaVu Sans"/>
    <w:panose1 w:val="020B0604030504040204"/>
    <w:charset w:val="00"/>
    <w:family w:val="swiss"/>
    <w:pitch w:val="default"/>
    <w:sig w:usb0="00000000" w:usb1="00000000" w:usb2="00000029" w:usb3="00000000" w:csb0="000101FF" w:csb1="00000000"/>
  </w:font>
  <w:font w:name="方正小标宋简体">
    <w:panose1 w:val="02000000000000000000"/>
    <w:charset w:val="86"/>
    <w:family w:val="auto"/>
    <w:pitch w:val="default"/>
    <w:sig w:usb0="A00002BF" w:usb1="184F6CFA" w:usb2="00000012" w:usb3="00000000" w:csb0="00040001" w:csb1="00000000"/>
  </w:font>
  <w:font w:name="楷体_GB2312">
    <w:altName w:val="方正楷体_GBK"/>
    <w:panose1 w:val="02010609030101010101"/>
    <w:charset w:val="86"/>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Arial">
    <w:altName w:val="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bordersDoNotSurroundHeader w:val="true"/>
  <w:bordersDoNotSurroundFooter w:val="true"/>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D6B42"/>
    <w:rsid w:val="0000386F"/>
    <w:rsid w:val="00003FDB"/>
    <w:rsid w:val="00013DD1"/>
    <w:rsid w:val="000233FD"/>
    <w:rsid w:val="0003048E"/>
    <w:rsid w:val="00034D0D"/>
    <w:rsid w:val="0003607B"/>
    <w:rsid w:val="00047063"/>
    <w:rsid w:val="00051095"/>
    <w:rsid w:val="0005656B"/>
    <w:rsid w:val="00067C04"/>
    <w:rsid w:val="00075A95"/>
    <w:rsid w:val="0008620A"/>
    <w:rsid w:val="00092F30"/>
    <w:rsid w:val="000A003D"/>
    <w:rsid w:val="000A15F8"/>
    <w:rsid w:val="000A4961"/>
    <w:rsid w:val="000B2BC2"/>
    <w:rsid w:val="000E3ABB"/>
    <w:rsid w:val="000F3E57"/>
    <w:rsid w:val="00140FB4"/>
    <w:rsid w:val="00146937"/>
    <w:rsid w:val="001578BB"/>
    <w:rsid w:val="00162DB0"/>
    <w:rsid w:val="001741F7"/>
    <w:rsid w:val="00181ABF"/>
    <w:rsid w:val="0018336B"/>
    <w:rsid w:val="00184960"/>
    <w:rsid w:val="00191739"/>
    <w:rsid w:val="001B60C1"/>
    <w:rsid w:val="001B6B32"/>
    <w:rsid w:val="001C4D58"/>
    <w:rsid w:val="001D0B7B"/>
    <w:rsid w:val="001D5DBB"/>
    <w:rsid w:val="001D5E53"/>
    <w:rsid w:val="001D6AD2"/>
    <w:rsid w:val="00203312"/>
    <w:rsid w:val="00243450"/>
    <w:rsid w:val="002464E8"/>
    <w:rsid w:val="00257977"/>
    <w:rsid w:val="00283F42"/>
    <w:rsid w:val="002846B0"/>
    <w:rsid w:val="00294F77"/>
    <w:rsid w:val="00297892"/>
    <w:rsid w:val="002B2BBE"/>
    <w:rsid w:val="002B67D4"/>
    <w:rsid w:val="002C1953"/>
    <w:rsid w:val="002D4AF9"/>
    <w:rsid w:val="002F225B"/>
    <w:rsid w:val="003231E2"/>
    <w:rsid w:val="0032507F"/>
    <w:rsid w:val="0033132B"/>
    <w:rsid w:val="00331628"/>
    <w:rsid w:val="00350BBA"/>
    <w:rsid w:val="00352D67"/>
    <w:rsid w:val="00356807"/>
    <w:rsid w:val="0036330E"/>
    <w:rsid w:val="003768C5"/>
    <w:rsid w:val="00376A80"/>
    <w:rsid w:val="00392D47"/>
    <w:rsid w:val="00395FBC"/>
    <w:rsid w:val="003D0693"/>
    <w:rsid w:val="003F6C97"/>
    <w:rsid w:val="00447537"/>
    <w:rsid w:val="00447FA2"/>
    <w:rsid w:val="00454D9A"/>
    <w:rsid w:val="004827B7"/>
    <w:rsid w:val="004841C1"/>
    <w:rsid w:val="00494B35"/>
    <w:rsid w:val="0050251F"/>
    <w:rsid w:val="005111EC"/>
    <w:rsid w:val="00511D42"/>
    <w:rsid w:val="00514F28"/>
    <w:rsid w:val="00520B4D"/>
    <w:rsid w:val="00531210"/>
    <w:rsid w:val="0053627F"/>
    <w:rsid w:val="00541525"/>
    <w:rsid w:val="00544230"/>
    <w:rsid w:val="005461D9"/>
    <w:rsid w:val="00553503"/>
    <w:rsid w:val="005557BF"/>
    <w:rsid w:val="00567332"/>
    <w:rsid w:val="00572E37"/>
    <w:rsid w:val="00576E74"/>
    <w:rsid w:val="005A3B21"/>
    <w:rsid w:val="005B070F"/>
    <w:rsid w:val="005B383B"/>
    <w:rsid w:val="005B3DC9"/>
    <w:rsid w:val="005D6B42"/>
    <w:rsid w:val="005D7213"/>
    <w:rsid w:val="005E25F9"/>
    <w:rsid w:val="005E4B26"/>
    <w:rsid w:val="005F30AE"/>
    <w:rsid w:val="005F3308"/>
    <w:rsid w:val="005F5FC9"/>
    <w:rsid w:val="00603D34"/>
    <w:rsid w:val="00607E28"/>
    <w:rsid w:val="0061325B"/>
    <w:rsid w:val="00616E38"/>
    <w:rsid w:val="00621741"/>
    <w:rsid w:val="0062305C"/>
    <w:rsid w:val="0062334D"/>
    <w:rsid w:val="00626960"/>
    <w:rsid w:val="00635A0E"/>
    <w:rsid w:val="00636D2A"/>
    <w:rsid w:val="0064456A"/>
    <w:rsid w:val="00645D0F"/>
    <w:rsid w:val="00655CDC"/>
    <w:rsid w:val="00661161"/>
    <w:rsid w:val="0067073C"/>
    <w:rsid w:val="00671681"/>
    <w:rsid w:val="0067569A"/>
    <w:rsid w:val="00676E2B"/>
    <w:rsid w:val="006829F7"/>
    <w:rsid w:val="00692721"/>
    <w:rsid w:val="006964A2"/>
    <w:rsid w:val="006A45BC"/>
    <w:rsid w:val="006C4C51"/>
    <w:rsid w:val="006D188F"/>
    <w:rsid w:val="006E02F1"/>
    <w:rsid w:val="006E1E78"/>
    <w:rsid w:val="006E22EB"/>
    <w:rsid w:val="006E6F4E"/>
    <w:rsid w:val="00710CA0"/>
    <w:rsid w:val="007164CB"/>
    <w:rsid w:val="0072374B"/>
    <w:rsid w:val="00726424"/>
    <w:rsid w:val="0073257A"/>
    <w:rsid w:val="00741408"/>
    <w:rsid w:val="007414ED"/>
    <w:rsid w:val="00763B2B"/>
    <w:rsid w:val="00782EF2"/>
    <w:rsid w:val="007875A0"/>
    <w:rsid w:val="00791C01"/>
    <w:rsid w:val="007B047A"/>
    <w:rsid w:val="007B5A9E"/>
    <w:rsid w:val="007B7D70"/>
    <w:rsid w:val="007D10C6"/>
    <w:rsid w:val="007D2896"/>
    <w:rsid w:val="007D2EFF"/>
    <w:rsid w:val="007D5F85"/>
    <w:rsid w:val="007D7436"/>
    <w:rsid w:val="007E2A62"/>
    <w:rsid w:val="007E5C62"/>
    <w:rsid w:val="007E6AE6"/>
    <w:rsid w:val="00801EEE"/>
    <w:rsid w:val="0080357C"/>
    <w:rsid w:val="008119D0"/>
    <w:rsid w:val="0081440A"/>
    <w:rsid w:val="00830A51"/>
    <w:rsid w:val="00851684"/>
    <w:rsid w:val="008560C3"/>
    <w:rsid w:val="008713FE"/>
    <w:rsid w:val="00873576"/>
    <w:rsid w:val="0088284C"/>
    <w:rsid w:val="008C1491"/>
    <w:rsid w:val="008D50B2"/>
    <w:rsid w:val="008E102F"/>
    <w:rsid w:val="008E2FEB"/>
    <w:rsid w:val="008E5AB4"/>
    <w:rsid w:val="00903421"/>
    <w:rsid w:val="00913200"/>
    <w:rsid w:val="00925275"/>
    <w:rsid w:val="00954B87"/>
    <w:rsid w:val="009652FB"/>
    <w:rsid w:val="00966D7A"/>
    <w:rsid w:val="00974038"/>
    <w:rsid w:val="00977EF1"/>
    <w:rsid w:val="00993CBD"/>
    <w:rsid w:val="00993F7A"/>
    <w:rsid w:val="009A48BD"/>
    <w:rsid w:val="009B31F9"/>
    <w:rsid w:val="009C1030"/>
    <w:rsid w:val="009C2A4C"/>
    <w:rsid w:val="009C6F69"/>
    <w:rsid w:val="009E1783"/>
    <w:rsid w:val="009E6C6B"/>
    <w:rsid w:val="009F400C"/>
    <w:rsid w:val="00A04C69"/>
    <w:rsid w:val="00A37CE3"/>
    <w:rsid w:val="00A405B7"/>
    <w:rsid w:val="00A40E65"/>
    <w:rsid w:val="00A46571"/>
    <w:rsid w:val="00A639D7"/>
    <w:rsid w:val="00A654D0"/>
    <w:rsid w:val="00A66F2A"/>
    <w:rsid w:val="00A71A09"/>
    <w:rsid w:val="00A72A65"/>
    <w:rsid w:val="00A80EEF"/>
    <w:rsid w:val="00A85A7C"/>
    <w:rsid w:val="00A93808"/>
    <w:rsid w:val="00AA2204"/>
    <w:rsid w:val="00AA5FE3"/>
    <w:rsid w:val="00AF1931"/>
    <w:rsid w:val="00AF698B"/>
    <w:rsid w:val="00B03B53"/>
    <w:rsid w:val="00B24AAD"/>
    <w:rsid w:val="00B458FE"/>
    <w:rsid w:val="00B45F4D"/>
    <w:rsid w:val="00B4714B"/>
    <w:rsid w:val="00B652D5"/>
    <w:rsid w:val="00B6705D"/>
    <w:rsid w:val="00B84359"/>
    <w:rsid w:val="00B946A5"/>
    <w:rsid w:val="00B96952"/>
    <w:rsid w:val="00BA1965"/>
    <w:rsid w:val="00BA6C49"/>
    <w:rsid w:val="00BB1686"/>
    <w:rsid w:val="00BC593E"/>
    <w:rsid w:val="00BD27DF"/>
    <w:rsid w:val="00BF7584"/>
    <w:rsid w:val="00C13374"/>
    <w:rsid w:val="00C24B6C"/>
    <w:rsid w:val="00C3644A"/>
    <w:rsid w:val="00C42D88"/>
    <w:rsid w:val="00C57ECB"/>
    <w:rsid w:val="00C64133"/>
    <w:rsid w:val="00C70DC1"/>
    <w:rsid w:val="00C7228B"/>
    <w:rsid w:val="00C84A4E"/>
    <w:rsid w:val="00CA2A5B"/>
    <w:rsid w:val="00CB524C"/>
    <w:rsid w:val="00CC69DC"/>
    <w:rsid w:val="00CC796C"/>
    <w:rsid w:val="00CD0251"/>
    <w:rsid w:val="00CD316B"/>
    <w:rsid w:val="00CD46E2"/>
    <w:rsid w:val="00CF7745"/>
    <w:rsid w:val="00D0369B"/>
    <w:rsid w:val="00D146CA"/>
    <w:rsid w:val="00D16D81"/>
    <w:rsid w:val="00D30218"/>
    <w:rsid w:val="00D517E2"/>
    <w:rsid w:val="00D84AFD"/>
    <w:rsid w:val="00D859F8"/>
    <w:rsid w:val="00D9148C"/>
    <w:rsid w:val="00D936A0"/>
    <w:rsid w:val="00D93DC7"/>
    <w:rsid w:val="00D95DD7"/>
    <w:rsid w:val="00DA53A7"/>
    <w:rsid w:val="00DD31CB"/>
    <w:rsid w:val="00E04E87"/>
    <w:rsid w:val="00E22D8C"/>
    <w:rsid w:val="00E40D9B"/>
    <w:rsid w:val="00E4499D"/>
    <w:rsid w:val="00E60B85"/>
    <w:rsid w:val="00E75D0C"/>
    <w:rsid w:val="00E7777C"/>
    <w:rsid w:val="00E829F1"/>
    <w:rsid w:val="00E93C2C"/>
    <w:rsid w:val="00EB3DC5"/>
    <w:rsid w:val="00EB6D59"/>
    <w:rsid w:val="00EC30F0"/>
    <w:rsid w:val="00EC34B2"/>
    <w:rsid w:val="00ED3185"/>
    <w:rsid w:val="00EE2F45"/>
    <w:rsid w:val="00EE76FC"/>
    <w:rsid w:val="00EF5005"/>
    <w:rsid w:val="00EF64FE"/>
    <w:rsid w:val="00F05F62"/>
    <w:rsid w:val="00F11A14"/>
    <w:rsid w:val="00F15C14"/>
    <w:rsid w:val="00F24BD8"/>
    <w:rsid w:val="00F30FAA"/>
    <w:rsid w:val="00F64631"/>
    <w:rsid w:val="00F70E42"/>
    <w:rsid w:val="00F80D99"/>
    <w:rsid w:val="00F810A8"/>
    <w:rsid w:val="00F915EB"/>
    <w:rsid w:val="00F972A2"/>
    <w:rsid w:val="00FA23F3"/>
    <w:rsid w:val="00FA631C"/>
    <w:rsid w:val="00FB40BD"/>
    <w:rsid w:val="00FD794D"/>
    <w:rsid w:val="00FE5279"/>
    <w:rsid w:val="00FE77C5"/>
    <w:rsid w:val="00FE7FD6"/>
    <w:rsid w:val="15FAC92D"/>
    <w:rsid w:val="2AE7222C"/>
    <w:rsid w:val="967F5636"/>
    <w:rsid w:val="FBE668D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0"/>
    <w:semiHidden/>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8">
    <w:name w:val="Emphasis"/>
    <w:basedOn w:val="7"/>
    <w:qFormat/>
    <w:uiPriority w:val="20"/>
    <w:rPr>
      <w:i/>
      <w:iCs/>
    </w:rPr>
  </w:style>
  <w:style w:type="character" w:customStyle="1" w:styleId="9">
    <w:name w:val="页眉 Char"/>
    <w:basedOn w:val="7"/>
    <w:link w:val="4"/>
    <w:semiHidden/>
    <w:qFormat/>
    <w:uiPriority w:val="99"/>
    <w:rPr>
      <w:sz w:val="18"/>
      <w:szCs w:val="18"/>
    </w:rPr>
  </w:style>
  <w:style w:type="character" w:customStyle="1" w:styleId="10">
    <w:name w:val="页脚 Char"/>
    <w:basedOn w:val="7"/>
    <w:link w:val="3"/>
    <w:semiHidden/>
    <w:qFormat/>
    <w:uiPriority w:val="99"/>
    <w:rPr>
      <w:sz w:val="18"/>
      <w:szCs w:val="18"/>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修订1"/>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4">
    <w:name w:val="Intense Reference"/>
    <w:basedOn w:val="7"/>
    <w:qFormat/>
    <w:uiPriority w:val="32"/>
    <w:rPr>
      <w:b/>
      <w:bCs/>
      <w:smallCaps/>
      <w:color w:val="C0504D" w:themeColor="accent2"/>
      <w:spacing w:val="5"/>
      <w:u w:val="single"/>
    </w:rPr>
  </w:style>
  <w:style w:type="paragraph" w:customStyle="1" w:styleId="15">
    <w:name w:val="Revision"/>
    <w:hidden/>
    <w:semi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2698</Words>
  <Characters>15381</Characters>
  <Lines>128</Lines>
  <Paragraphs>36</Paragraphs>
  <TotalTime>2685</TotalTime>
  <ScaleCrop>false</ScaleCrop>
  <LinksUpToDate>false</LinksUpToDate>
  <CharactersWithSpaces>18043</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2023-03-20T09:15:00Z</dcterms:created>
  <dc:creator>Administrator</dc:creator>
  <cp:lastModifiedBy>wjw</cp:lastModifiedBy>
  <cp:lastPrinted>2023-05-16T15:27:00Z</cp:lastPrinted>
  <dcterms:modified xsi:type="dcterms:W3CDTF">2023-06-05T16:33:39Z</dcterms:modified>
  <cp:revision>115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