
<file path=[Content_Types].xml><?xml version="1.0" encoding="utf-8"?>
<Types xmlns="http://schemas.openxmlformats.org/package/2006/content-types">
  <Default Extension="xml" ContentType="application/xml"/>
  <Default Extension="xlsx" ContentType="application/vnd.openxmlformats-officedocument.spreadsheetml.sheet"/>
  <Default Extension="bin" ContentType="application/vnd.openxmlformats-officedocument.oleObject"/>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document.xml" ContentType="application/vnd.openxmlformats-officedocument.wordprocessingml.document.main+xml"/>
  <Override PartName="/word/drawings/drawing1.xml" ContentType="application/vnd.openxmlformats-officedocument.drawingml.chartshapes+xml"/>
  <Override PartName="/word/drawings/drawing10.xml" ContentType="application/vnd.openxmlformats-officedocument.drawingml.chartshapes+xml"/>
  <Override PartName="/word/drawings/drawing11.xml" ContentType="application/vnd.openxmlformats-officedocument.drawingml.chartshapes+xml"/>
  <Override PartName="/word/drawings/drawing12.xml" ContentType="application/vnd.openxmlformats-officedocument.drawingml.chartshapes+xml"/>
  <Override PartName="/word/drawings/drawing2.xml" ContentType="application/vnd.openxmlformats-officedocument.drawingml.chartshapes+xml"/>
  <Override PartName="/word/drawings/drawing3.xml" ContentType="application/vnd.openxmlformats-officedocument.drawingml.chartshapes+xml"/>
  <Override PartName="/word/drawings/drawing4.xml" ContentType="application/vnd.openxmlformats-officedocument.drawingml.chartshapes+xml"/>
  <Override PartName="/word/drawings/drawing5.xml" ContentType="application/vnd.openxmlformats-officedocument.drawingml.chartshapes+xml"/>
  <Override PartName="/word/drawings/drawing6.xml" ContentType="application/vnd.openxmlformats-officedocument.drawingml.chartshapes+xml"/>
  <Override PartName="/word/drawings/drawing7.xml" ContentType="application/vnd.openxmlformats-officedocument.drawingml.chartshapes+xml"/>
  <Override PartName="/word/drawings/drawing8.xml" ContentType="application/vnd.openxmlformats-officedocument.drawingml.chartshapes+xml"/>
  <Override PartName="/word/drawings/drawing9.xml" ContentType="application/vnd.openxmlformats-officedocument.drawingml.chartshapes+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方正小标宋简体" w:eastAsia="方正小标宋简体"/>
          <w:sz w:val="44"/>
          <w:szCs w:val="44"/>
        </w:rPr>
      </w:pPr>
      <w:bookmarkStart w:id="2" w:name="_GoBack"/>
      <w:bookmarkEnd w:id="2"/>
      <w:r>
        <w:rPr>
          <w:rFonts w:hint="eastAsia" w:ascii="方正小标宋简体" w:hAnsi="方正小标宋简体" w:eastAsia="方正小标宋简体"/>
          <w:sz w:val="44"/>
          <w:szCs w:val="44"/>
        </w:rPr>
        <w:t>《富有机硒食品硒含量要求》编制说明</w:t>
      </w:r>
    </w:p>
    <w:p>
      <w:pPr>
        <w:pStyle w:val="2"/>
        <w:rPr>
          <w:sz w:val="32"/>
          <w:szCs w:val="32"/>
        </w:rPr>
      </w:pPr>
      <w:r>
        <w:rPr>
          <w:rFonts w:hint="eastAsia"/>
          <w:sz w:val="32"/>
          <w:szCs w:val="32"/>
        </w:rPr>
        <w:t>1、工作简况</w:t>
      </w:r>
    </w:p>
    <w:p>
      <w:pPr>
        <w:pStyle w:val="3"/>
      </w:pPr>
      <w:r>
        <w:rPr>
          <w:rFonts w:hint="eastAsia"/>
        </w:rPr>
        <w:t>1.1 任务来源</w:t>
      </w:r>
    </w:p>
    <w:p>
      <w:pPr>
        <w:ind w:firstLine="560" w:firstLineChars="200"/>
        <w:jc w:val="left"/>
        <w:rPr>
          <w:rFonts w:ascii="仿宋_GB2312" w:hAnsi="仿宋" w:eastAsia="仿宋_GB2312"/>
          <w:sz w:val="28"/>
          <w:szCs w:val="28"/>
        </w:rPr>
      </w:pPr>
      <w:r>
        <w:rPr>
          <w:rFonts w:hint="eastAsia" w:ascii="仿宋_GB2312" w:hAnsi="仿宋" w:eastAsia="仿宋_GB2312"/>
          <w:sz w:val="28"/>
          <w:szCs w:val="28"/>
        </w:rPr>
        <w:t>湖北省卫生计生委综合监督局2020年3月下达的《富有机硒食品硒含量要求》</w:t>
      </w:r>
      <w:r>
        <w:rPr>
          <w:rFonts w:hint="eastAsia" w:ascii="仿宋_GB2312" w:hAnsi="宋体" w:eastAsia="仿宋_GB2312"/>
          <w:sz w:val="28"/>
          <w:szCs w:val="28"/>
        </w:rPr>
        <w:t>食</w:t>
      </w:r>
      <w:r>
        <w:rPr>
          <w:rFonts w:hint="eastAsia" w:ascii="仿宋_GB2312" w:hAnsi="仿宋" w:eastAsia="仿宋_GB2312"/>
          <w:sz w:val="28"/>
          <w:szCs w:val="28"/>
        </w:rPr>
        <w:t>品安全地方标准修订项目。</w:t>
      </w:r>
    </w:p>
    <w:p>
      <w:pPr>
        <w:pStyle w:val="3"/>
      </w:pPr>
      <w:r>
        <w:rPr>
          <w:rFonts w:hint="eastAsia"/>
        </w:rPr>
        <w:t>1.2 起草单位、起草人</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本标准起草单位：恩施土家族苗族自治州公共检验检测中心（国家富硒产品质量监督检验中心）、恩施土家族苗族自治州农业科学院、</w:t>
      </w:r>
      <w:r>
        <w:rPr>
          <w:rFonts w:ascii="仿宋_GB2312" w:hAnsi="宋体" w:eastAsia="仿宋_GB2312"/>
          <w:sz w:val="28"/>
          <w:szCs w:val="28"/>
        </w:rPr>
        <w:t>国家富硒农产品加工技术研发专业中心</w:t>
      </w:r>
      <w:r>
        <w:rPr>
          <w:rFonts w:hint="eastAsia" w:ascii="仿宋_GB2312" w:hAnsi="宋体" w:eastAsia="仿宋_GB2312"/>
          <w:sz w:val="28"/>
          <w:szCs w:val="28"/>
        </w:rPr>
        <w:t>、湖北省硒产业协会、恩施德源健康科技发展有限公司、中硒集团、恩施硒圣植物科技有限公司、恩施徕福硒业有限公司。</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本标准起草</w:t>
      </w:r>
      <w:r>
        <w:rPr>
          <w:rFonts w:hint="eastAsia" w:ascii="仿宋_GB2312" w:hAnsi="仿宋" w:eastAsia="仿宋_GB2312"/>
          <w:sz w:val="28"/>
          <w:szCs w:val="28"/>
        </w:rPr>
        <w:t>人</w:t>
      </w:r>
      <w:r>
        <w:rPr>
          <w:rFonts w:hint="eastAsia" w:ascii="仿宋_GB2312" w:hAnsi="宋体" w:eastAsia="仿宋_GB2312"/>
          <w:sz w:val="28"/>
          <w:szCs w:val="28"/>
        </w:rPr>
        <w:t>：薛华、廖美林、谢义梅、向极钎、张弛、丛欣、田宗仁、黄波、周灵、王祝、张新江。</w:t>
      </w:r>
    </w:p>
    <w:p>
      <w:pPr>
        <w:pStyle w:val="3"/>
      </w:pPr>
      <w:r>
        <w:rPr>
          <w:rFonts w:hint="eastAsia"/>
        </w:rPr>
        <w:t>1.3 标准起草过程</w:t>
      </w:r>
    </w:p>
    <w:p>
      <w:pPr>
        <w:pStyle w:val="4"/>
      </w:pPr>
      <w:r>
        <w:rPr>
          <w:rFonts w:hint="eastAsia"/>
        </w:rPr>
        <w:t>1.3.1 研制本标准的背景和意义</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硒元素作为人体必需的微量元素，具有保护肝脏、抗氧化、提高免疫力、保护视力及促进生殖健康等多种重要生理活性及功能。但过量硒的摄入反而会威胁到人体健康，因此引导消费者科学补硒极其重要。</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在当前富硒产业蓬勃发展，涉硒产品市场快速成长的阶段，以有机硒为技术核心及概念的产品快速增长，需要地方标准的技术先进性和前瞻性，进一步推动产业有序发展。湖北省食品安全地方标准《 富有机硒食品硒含量要求》（DBS42/ 002-2014）是我国首项关于有机硒的食品安全地方标准。从2012年着手编制，到2014年发布实施，直至使用到今天，在全国富硒产业标准中起到了很好的引领作用，其他省也相继出台了相关标准。标准在当时的背景下合理确定了食品中总硒及有机硒的安全范围，对有效开发利用硒土壤资源，规范有机硒食品市场，指导消费者科学选择起到了一定作用。但是在五年的使用中也发现随着科学技术的日新月异、检测方法的不断更新，人们对硒的进一步认知和对硒资源的进一步开发利用，标准本身的一些瑕疵突显出来，尤其是各省标准之间的差异较大，限制和阻碍了本省一些企业的发展，因此对本标准进行修订和完善也迫在眉睫。</w:t>
      </w:r>
    </w:p>
    <w:p>
      <w:pPr>
        <w:spacing w:line="300" w:lineRule="auto"/>
        <w:ind w:firstLine="560" w:firstLineChars="200"/>
        <w:rPr>
          <w:rFonts w:ascii="Times New Roman" w:hAnsi="Times New Roman" w:eastAsia="仿宋_GB2312"/>
          <w:sz w:val="28"/>
          <w:szCs w:val="28"/>
        </w:rPr>
      </w:pPr>
      <w:r>
        <w:rPr>
          <w:rFonts w:hint="eastAsia" w:ascii="仿宋_GB2312" w:hAnsi="宋体" w:eastAsia="仿宋_GB2312"/>
          <w:sz w:val="28"/>
          <w:szCs w:val="28"/>
        </w:rPr>
        <w:t>《湖北省食品安全地方标准 富有机硒食品硒含量要求》（DBS 42/002-2014）</w:t>
      </w:r>
      <w:r>
        <w:rPr>
          <w:rFonts w:hint="eastAsia" w:ascii="仿宋_GB2312" w:eastAsia="仿宋_GB2312"/>
          <w:sz w:val="28"/>
          <w:szCs w:val="28"/>
        </w:rPr>
        <w:t>的成功修订和完善，</w:t>
      </w:r>
      <w:r>
        <w:rPr>
          <w:rFonts w:hint="eastAsia" w:ascii="Times New Roman" w:hAnsi="Times New Roman" w:eastAsia="仿宋_GB2312"/>
          <w:sz w:val="28"/>
          <w:szCs w:val="28"/>
        </w:rPr>
        <w:t>有利于有机硒食品市场的规范化发展和管理，</w:t>
      </w:r>
      <w:r>
        <w:rPr>
          <w:rFonts w:hint="eastAsia" w:ascii="仿宋_GB2312" w:eastAsia="仿宋_GB2312"/>
          <w:sz w:val="28"/>
          <w:szCs w:val="28"/>
        </w:rPr>
        <w:t>可以更好地指导企业进行富硒产品的标准化生产，提升富硒产品的市场竞争力，推动富硒产业的发展</w:t>
      </w:r>
      <w:r>
        <w:rPr>
          <w:rFonts w:hint="eastAsia" w:ascii="Times New Roman" w:hAnsi="Times New Roman" w:eastAsia="仿宋_GB2312"/>
          <w:sz w:val="28"/>
          <w:szCs w:val="28"/>
        </w:rPr>
        <w:t>，把资源优势转化为经济优势，促进地方特色经济的快速发展。</w:t>
      </w:r>
    </w:p>
    <w:p>
      <w:pPr>
        <w:pStyle w:val="3"/>
      </w:pPr>
      <w:r>
        <w:rPr>
          <w:rFonts w:hint="eastAsia"/>
        </w:rPr>
        <w:t>1.3.2 标准起草主要过程</w:t>
      </w:r>
    </w:p>
    <w:p>
      <w:pPr>
        <w:spacing w:line="300" w:lineRule="auto"/>
        <w:ind w:firstLine="560" w:firstLineChars="200"/>
        <w:rPr>
          <w:rFonts w:ascii="仿宋_GB2312" w:hAnsi="宋体" w:eastAsia="仿宋_GB2312"/>
          <w:sz w:val="28"/>
          <w:szCs w:val="28"/>
        </w:rPr>
      </w:pPr>
      <w:r>
        <w:rPr>
          <w:rFonts w:hint="eastAsia" w:ascii="仿宋_GB2312" w:hAnsi="宋体" w:eastAsia="仿宋_GB2312"/>
          <w:sz w:val="28"/>
          <w:szCs w:val="28"/>
        </w:rPr>
        <w:t>本标准编制任务确定后，于2020年4月组织成立了起草小组，建立了工作专班，检索、收集相关资料，根据《湖北省地方标准管理办法》，制定实施计划，确定总体工作方案。并于2020年5月在州公共检验检测中心召开标准修订启动会议。会上，介绍了标准修定的重要性和制标程序，成立了标准修订起草小组，并对有关事项进行了讨论和规定。</w:t>
      </w:r>
    </w:p>
    <w:p>
      <w:pPr>
        <w:pStyle w:val="18"/>
        <w:spacing w:line="360" w:lineRule="auto"/>
        <w:ind w:firstLine="560"/>
        <w:rPr>
          <w:rFonts w:ascii="仿宋_GB2312" w:hAnsi="Times New Roman" w:eastAsia="仿宋_GB2312"/>
          <w:sz w:val="32"/>
          <w:szCs w:val="32"/>
        </w:rPr>
      </w:pPr>
      <w:r>
        <w:rPr>
          <w:rFonts w:hint="eastAsia" w:ascii="仿宋_GB2312" w:hAnsi="宋体" w:eastAsia="仿宋_GB2312"/>
          <w:sz w:val="28"/>
          <w:szCs w:val="28"/>
        </w:rPr>
        <w:t>2020年5月开始，州公共检验检测中心对具有代表性的含有机硒样品进行了检测分析，产品种类涵盖谷物类、豆类、薯类、蔬菜、水果、坚果及籽类、畜禽水产类、茶叶（代用茶）及茶制品等，汇总分析了3682批次含硒样品的总硒含量数据及1778批次含硒样品的有机硒含量数据，依据检测数据及其他省地方标准、行业标准及相关部门的意见制定了本标准的征求意见稿。（</w:t>
      </w:r>
      <w:r>
        <w:rPr>
          <w:rFonts w:ascii="仿宋_GB2312" w:hAnsi="宋体" w:eastAsia="仿宋_GB2312"/>
          <w:sz w:val="28"/>
          <w:szCs w:val="28"/>
        </w:rPr>
        <w:t>GB/T 1.1-20</w:t>
      </w:r>
      <w:r>
        <w:rPr>
          <w:rFonts w:hint="eastAsia" w:ascii="仿宋_GB2312" w:hAnsi="宋体" w:eastAsia="仿宋_GB2312"/>
          <w:sz w:val="28"/>
          <w:szCs w:val="28"/>
        </w:rPr>
        <w:t>20于2020年3月31日发布，2020年10月1日实施，考虑到本标准修订前该标准已发布，且本标准修订需一定周期，故本标准按照</w:t>
      </w:r>
      <w:r>
        <w:rPr>
          <w:rFonts w:ascii="仿宋_GB2312" w:hAnsi="宋体" w:eastAsia="仿宋_GB2312"/>
          <w:sz w:val="28"/>
          <w:szCs w:val="28"/>
        </w:rPr>
        <w:t>GB/T 1.1-20</w:t>
      </w:r>
      <w:r>
        <w:rPr>
          <w:rFonts w:hint="eastAsia" w:ascii="仿宋_GB2312" w:hAnsi="宋体" w:eastAsia="仿宋_GB2312"/>
          <w:sz w:val="28"/>
          <w:szCs w:val="28"/>
        </w:rPr>
        <w:t>20的规定起草。）</w:t>
      </w:r>
    </w:p>
    <w:p>
      <w:pPr>
        <w:ind w:firstLine="560" w:firstLineChars="200"/>
        <w:rPr>
          <w:rFonts w:ascii="仿宋_GB2312" w:hAnsi="宋体" w:eastAsia="仿宋_GB2312"/>
          <w:sz w:val="28"/>
          <w:szCs w:val="28"/>
        </w:rPr>
      </w:pPr>
      <w:r>
        <w:rPr>
          <w:rFonts w:hint="eastAsia" w:ascii="仿宋_GB2312" w:hAnsi="宋体" w:eastAsia="仿宋_GB2312"/>
          <w:sz w:val="28"/>
          <w:szCs w:val="28"/>
        </w:rPr>
        <w:t>2020年8月征求意见稿形成后，发至各监管部门、大专院校、科研院所、企业等单位相关专家征求意见。将专家意见收集后，形成专家意见汇总表，对采纳与不采纳的意见均说明原因，同时根据专家的意见完善标准的相关内容。</w:t>
      </w:r>
    </w:p>
    <w:p>
      <w:pPr>
        <w:ind w:firstLine="560" w:firstLineChars="200"/>
        <w:rPr>
          <w:rFonts w:ascii="仿宋_GB2312" w:hAnsi="宋体" w:eastAsia="仿宋_GB2312"/>
          <w:sz w:val="28"/>
          <w:szCs w:val="28"/>
        </w:rPr>
      </w:pPr>
      <w:r>
        <w:rPr>
          <w:rFonts w:hint="eastAsia" w:ascii="仿宋_GB2312" w:hAnsi="宋体" w:eastAsia="仿宋_GB2312"/>
          <w:sz w:val="28"/>
          <w:szCs w:val="28"/>
        </w:rPr>
        <w:t>将标准送审稿、编制说明、行业摸底情况、专家意见、检验报告等资料收集齐备后，按照湖北省食品安全地方标准送审报告的要求，形成标准送审报告，报送省食品安全标准审批委员会秘书处。</w:t>
      </w:r>
    </w:p>
    <w:p>
      <w:pPr>
        <w:pStyle w:val="2"/>
        <w:rPr>
          <w:sz w:val="32"/>
          <w:szCs w:val="32"/>
        </w:rPr>
      </w:pPr>
      <w:r>
        <w:rPr>
          <w:rFonts w:hint="eastAsia"/>
          <w:sz w:val="32"/>
          <w:szCs w:val="32"/>
        </w:rPr>
        <w:t>2、与国内外相关标准的关系</w:t>
      </w:r>
    </w:p>
    <w:p>
      <w:pPr>
        <w:pStyle w:val="3"/>
      </w:pPr>
      <w:r>
        <w:rPr>
          <w:rFonts w:hint="eastAsia"/>
        </w:rPr>
        <w:t>2.1 标准文本中引用的相关标准如下</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下列文件中的内容通过文中的规范性引用而构成本文件必不可少的条款。其中，注日期的引用文件，仅该日期对应的版本适用于本文件；不注日期的引用文件，其最新版本</w:t>
      </w:r>
      <w:r>
        <w:rPr>
          <w:rFonts w:ascii="仿宋_GB2312" w:hAnsi="宋体" w:eastAsia="仿宋_GB2312"/>
          <w:sz w:val="28"/>
          <w:szCs w:val="28"/>
        </w:rPr>
        <w:t>（</w:t>
      </w:r>
      <w:r>
        <w:rPr>
          <w:rFonts w:hint="eastAsia" w:ascii="仿宋_GB2312" w:hAnsi="宋体" w:eastAsia="仿宋_GB2312"/>
          <w:sz w:val="28"/>
          <w:szCs w:val="28"/>
        </w:rPr>
        <w:t>包括所有的修改单）适用于本文件。</w:t>
      </w:r>
    </w:p>
    <w:p>
      <w:pPr>
        <w:pStyle w:val="23"/>
        <w:spacing w:line="400" w:lineRule="exact"/>
        <w:ind w:firstLine="560"/>
        <w:rPr>
          <w:rFonts w:ascii="仿宋_GB2312" w:hAnsi="宋体" w:eastAsia="仿宋_GB2312"/>
          <w:kern w:val="2"/>
          <w:sz w:val="28"/>
          <w:szCs w:val="28"/>
        </w:rPr>
      </w:pPr>
      <w:r>
        <w:rPr>
          <w:rFonts w:hint="eastAsia" w:ascii="仿宋_GB2312" w:hAnsi="宋体" w:eastAsia="仿宋_GB2312"/>
          <w:kern w:val="2"/>
          <w:sz w:val="28"/>
          <w:szCs w:val="28"/>
        </w:rPr>
        <w:t xml:space="preserve">GB 5009.93  </w:t>
      </w:r>
      <w:r>
        <w:rPr>
          <w:rFonts w:ascii="仿宋_GB2312" w:hAnsi="宋体" w:eastAsia="仿宋_GB2312"/>
          <w:kern w:val="2"/>
          <w:sz w:val="28"/>
          <w:szCs w:val="28"/>
        </w:rPr>
        <w:t xml:space="preserve"> </w:t>
      </w:r>
      <w:r>
        <w:rPr>
          <w:rFonts w:hint="eastAsia" w:ascii="仿宋_GB2312" w:hAnsi="宋体" w:eastAsia="仿宋_GB2312"/>
          <w:kern w:val="2"/>
          <w:sz w:val="28"/>
          <w:szCs w:val="28"/>
        </w:rPr>
        <w:t>食品安全国家标准 食品中硒的测定</w:t>
      </w:r>
    </w:p>
    <w:p>
      <w:pPr>
        <w:pStyle w:val="23"/>
        <w:spacing w:line="400" w:lineRule="exact"/>
        <w:ind w:firstLine="560"/>
        <w:rPr>
          <w:rFonts w:ascii="仿宋_GB2312" w:hAnsi="宋体" w:eastAsia="仿宋_GB2312"/>
          <w:kern w:val="2"/>
          <w:sz w:val="28"/>
          <w:szCs w:val="28"/>
        </w:rPr>
      </w:pPr>
      <w:r>
        <w:rPr>
          <w:rFonts w:hint="eastAsia" w:ascii="仿宋_GB2312" w:hAnsi="宋体" w:eastAsia="仿宋_GB2312"/>
          <w:kern w:val="2"/>
          <w:sz w:val="28"/>
          <w:szCs w:val="28"/>
        </w:rPr>
        <w:t xml:space="preserve">GB 7718     </w:t>
      </w:r>
      <w:r>
        <w:rPr>
          <w:rFonts w:ascii="仿宋_GB2312" w:hAnsi="宋体" w:eastAsia="仿宋_GB2312"/>
          <w:kern w:val="2"/>
          <w:sz w:val="28"/>
          <w:szCs w:val="28"/>
        </w:rPr>
        <w:t xml:space="preserve"> </w:t>
      </w:r>
      <w:r>
        <w:rPr>
          <w:rFonts w:hint="eastAsia" w:ascii="仿宋_GB2312" w:hAnsi="宋体" w:eastAsia="仿宋_GB2312"/>
          <w:kern w:val="2"/>
          <w:sz w:val="28"/>
          <w:szCs w:val="28"/>
        </w:rPr>
        <w:t>食品安全国家标准 预包装食品标签通则</w:t>
      </w:r>
    </w:p>
    <w:p>
      <w:pPr>
        <w:pStyle w:val="23"/>
        <w:spacing w:line="400" w:lineRule="exact"/>
        <w:ind w:firstLine="560"/>
        <w:rPr>
          <w:rFonts w:ascii="仿宋_GB2312" w:hAnsi="宋体" w:eastAsia="仿宋_GB2312"/>
          <w:kern w:val="2"/>
          <w:sz w:val="28"/>
          <w:szCs w:val="28"/>
        </w:rPr>
      </w:pPr>
      <w:r>
        <w:rPr>
          <w:rFonts w:hint="eastAsia" w:ascii="仿宋_GB2312" w:hAnsi="宋体" w:eastAsia="仿宋_GB2312"/>
          <w:kern w:val="2"/>
          <w:sz w:val="28"/>
          <w:szCs w:val="28"/>
        </w:rPr>
        <w:t xml:space="preserve">GB 28050    </w:t>
      </w:r>
      <w:r>
        <w:rPr>
          <w:rFonts w:ascii="仿宋_GB2312" w:hAnsi="宋体" w:eastAsia="仿宋_GB2312"/>
          <w:kern w:val="2"/>
          <w:sz w:val="28"/>
          <w:szCs w:val="28"/>
        </w:rPr>
        <w:t xml:space="preserve"> </w:t>
      </w:r>
      <w:r>
        <w:rPr>
          <w:rFonts w:hint="eastAsia" w:ascii="仿宋_GB2312" w:hAnsi="宋体" w:eastAsia="仿宋_GB2312"/>
          <w:kern w:val="2"/>
          <w:sz w:val="28"/>
          <w:szCs w:val="28"/>
        </w:rPr>
        <w:t>食品安全国家标准 预包装食品营养标签通则</w:t>
      </w:r>
    </w:p>
    <w:p>
      <w:pPr>
        <w:pStyle w:val="23"/>
        <w:spacing w:line="400" w:lineRule="exact"/>
        <w:ind w:firstLine="560"/>
        <w:rPr>
          <w:rFonts w:ascii="仿宋_GB2312" w:hAnsi="宋体" w:eastAsia="仿宋_GB2312"/>
          <w:kern w:val="2"/>
          <w:sz w:val="28"/>
          <w:szCs w:val="28"/>
        </w:rPr>
      </w:pPr>
      <w:r>
        <w:rPr>
          <w:rFonts w:hint="eastAsia" w:ascii="仿宋_GB2312" w:hAnsi="宋体" w:eastAsia="仿宋_GB2312"/>
          <w:kern w:val="2"/>
          <w:sz w:val="28"/>
          <w:szCs w:val="28"/>
        </w:rPr>
        <w:t>WS/T 578.3   中国居民膳食营养素参考摄入量 第 3 部分：微量元素</w:t>
      </w:r>
    </w:p>
    <w:p>
      <w:pPr>
        <w:pStyle w:val="23"/>
        <w:spacing w:line="400" w:lineRule="exact"/>
        <w:ind w:firstLine="560"/>
        <w:rPr>
          <w:rFonts w:ascii="仿宋_GB2312" w:hAnsi="宋体" w:eastAsia="仿宋_GB2312"/>
          <w:kern w:val="2"/>
          <w:sz w:val="28"/>
          <w:szCs w:val="28"/>
        </w:rPr>
      </w:pPr>
      <w:r>
        <w:rPr>
          <w:rFonts w:hint="eastAsia" w:ascii="仿宋_GB2312" w:hAnsi="宋体" w:eastAsia="仿宋_GB2312"/>
          <w:kern w:val="2"/>
          <w:sz w:val="28"/>
          <w:szCs w:val="28"/>
        </w:rPr>
        <w:t xml:space="preserve">DBS42/ 010  </w:t>
      </w:r>
      <w:r>
        <w:rPr>
          <w:rFonts w:ascii="仿宋_GB2312" w:hAnsi="宋体" w:eastAsia="仿宋_GB2312"/>
          <w:kern w:val="2"/>
          <w:sz w:val="28"/>
          <w:szCs w:val="28"/>
        </w:rPr>
        <w:t xml:space="preserve"> </w:t>
      </w:r>
      <w:r>
        <w:rPr>
          <w:rFonts w:hint="eastAsia" w:ascii="仿宋_GB2312" w:hAnsi="宋体" w:eastAsia="仿宋_GB2312"/>
          <w:kern w:val="2"/>
          <w:sz w:val="28"/>
          <w:szCs w:val="28"/>
        </w:rPr>
        <w:t>湖北省食品安全地方标准 富硒食品中无机硒的测定方法</w:t>
      </w:r>
    </w:p>
    <w:p>
      <w:pPr>
        <w:pStyle w:val="3"/>
      </w:pPr>
      <w:r>
        <w:rPr>
          <w:rFonts w:hint="eastAsia"/>
        </w:rPr>
        <w:t>2.2</w:t>
      </w:r>
      <w:r>
        <w:t xml:space="preserve"> </w:t>
      </w:r>
      <w:r>
        <w:rPr>
          <w:rFonts w:hint="eastAsia"/>
        </w:rPr>
        <w:t>硒的摄入标准</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（1）澳大利亚是第一个官方发布硒推荐摄入量的国家，澳大利亚的卫生和医学研究理事会提议，成年男女每日膳食硒摄入量分别为80</w:t>
      </w:r>
      <w:r>
        <w:rPr>
          <w:rFonts w:ascii="仿宋_GB2312" w:hAnsi="宋体" w:eastAsia="仿宋_GB2312"/>
          <w:sz w:val="28"/>
          <w:szCs w:val="28"/>
        </w:rPr>
        <w:t xml:space="preserve"> </w:t>
      </w:r>
      <w:r>
        <w:rPr>
          <w:rFonts w:hint="eastAsia" w:ascii="仿宋_GB2312" w:hAnsi="宋体" w:eastAsia="仿宋_GB2312"/>
          <w:sz w:val="28"/>
          <w:szCs w:val="28"/>
        </w:rPr>
        <w:t>µg和70</w:t>
      </w:r>
      <w:r>
        <w:rPr>
          <w:rFonts w:ascii="仿宋_GB2312" w:hAnsi="宋体" w:eastAsia="仿宋_GB2312"/>
          <w:sz w:val="28"/>
          <w:szCs w:val="28"/>
        </w:rPr>
        <w:t xml:space="preserve"> </w:t>
      </w:r>
      <w:r>
        <w:rPr>
          <w:rFonts w:hint="eastAsia" w:ascii="仿宋_GB2312" w:hAnsi="宋体" w:eastAsia="仿宋_GB2312"/>
          <w:sz w:val="28"/>
          <w:szCs w:val="28"/>
        </w:rPr>
        <w:t>µg</w:t>
      </w:r>
      <w:r>
        <w:rPr>
          <w:rFonts w:ascii="仿宋_GB2312" w:hAnsi="宋体" w:eastAsia="仿宋_GB2312"/>
          <w:sz w:val="28"/>
          <w:szCs w:val="28"/>
          <w:vertAlign w:val="superscript"/>
        </w:rPr>
        <w:t>[1]</w:t>
      </w:r>
      <w:r>
        <w:rPr>
          <w:rFonts w:hint="eastAsia" w:ascii="仿宋_GB2312" w:hAnsi="宋体" w:eastAsia="仿宋_GB2312"/>
          <w:sz w:val="28"/>
          <w:szCs w:val="28"/>
        </w:rPr>
        <w:t>。</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（2）美国国家研究委员会推荐，成年男性和女性的每日膳食硒摄入量应分别达到70 µg和55 µg</w:t>
      </w:r>
      <w:r>
        <w:rPr>
          <w:rFonts w:ascii="仿宋_GB2312" w:hAnsi="宋体" w:eastAsia="仿宋_GB2312"/>
          <w:sz w:val="28"/>
          <w:szCs w:val="28"/>
          <w:vertAlign w:val="superscript"/>
        </w:rPr>
        <w:t>[1]</w:t>
      </w:r>
      <w:r>
        <w:rPr>
          <w:rFonts w:hint="eastAsia" w:ascii="仿宋_GB2312" w:hAnsi="宋体" w:eastAsia="仿宋_GB2312"/>
          <w:sz w:val="28"/>
          <w:szCs w:val="28"/>
        </w:rPr>
        <w:t>。</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（3）世界各国硒正常日摄入量：英国70 µg，加拿大99～224 µg，日本88 µg，新西兰56 µg。</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（4）1996年，世界卫生组织公布了较为规范的硒日摄入量值，建议成年男女每日硒摄入量需达到为40 µg和30 µg。</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（5）欧洲食品安全局（EFSA）公布的针对不同年龄层人群的硒推荐膳食摄入量（ adequate intake ，AI）为 15～70 µg /d</w:t>
      </w:r>
      <w:r>
        <w:rPr>
          <w:rFonts w:ascii="仿宋_GB2312" w:hAnsi="宋体" w:eastAsia="仿宋_GB2312"/>
          <w:sz w:val="28"/>
          <w:szCs w:val="28"/>
          <w:vertAlign w:val="superscript"/>
        </w:rPr>
        <w:t>[2]</w:t>
      </w:r>
      <w:r>
        <w:rPr>
          <w:rFonts w:hint="eastAsia" w:ascii="仿宋_GB2312" w:hAnsi="宋体" w:eastAsia="仿宋_GB2312"/>
          <w:sz w:val="28"/>
          <w:szCs w:val="28"/>
        </w:rPr>
        <w:t>。</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（6）中国营养学会推荐成人每日硒膳食摄入量60 µg/d</w:t>
      </w:r>
      <w:r>
        <w:rPr>
          <w:rFonts w:hint="eastAsia" w:ascii="仿宋_GB2312" w:hAnsi="宋体" w:eastAsia="仿宋_GB2312"/>
          <w:sz w:val="28"/>
          <w:szCs w:val="28"/>
          <w:vertAlign w:val="superscript"/>
        </w:rPr>
        <w:t>[</w:t>
      </w:r>
      <w:r>
        <w:rPr>
          <w:rFonts w:ascii="仿宋_GB2312" w:hAnsi="宋体" w:eastAsia="仿宋_GB2312"/>
          <w:sz w:val="28"/>
          <w:szCs w:val="28"/>
          <w:vertAlign w:val="superscript"/>
        </w:rPr>
        <w:t>3]</w:t>
      </w:r>
      <w:r>
        <w:rPr>
          <w:rFonts w:hint="eastAsia" w:ascii="仿宋_GB2312" w:hAnsi="宋体" w:eastAsia="仿宋_GB2312"/>
          <w:sz w:val="28"/>
          <w:szCs w:val="28"/>
        </w:rPr>
        <w:t>。</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（7）根据中华人民共和国卫生行业标准《中国居民膳食营养素参考摄入量第三部分：微量元素》（WS/T 578.3—2017），我国成人每日硒平均基础需要量为50</w:t>
      </w:r>
      <w:r>
        <w:rPr>
          <w:rFonts w:ascii="仿宋_GB2312" w:hAnsi="宋体" w:eastAsia="仿宋_GB2312"/>
          <w:sz w:val="28"/>
          <w:szCs w:val="28"/>
        </w:rPr>
        <w:t xml:space="preserve"> </w:t>
      </w:r>
      <w:r>
        <w:rPr>
          <w:rFonts w:hint="eastAsia" w:ascii="仿宋_GB2312" w:hAnsi="宋体" w:eastAsia="仿宋_GB2312"/>
          <w:sz w:val="28"/>
          <w:szCs w:val="28"/>
        </w:rPr>
        <w:t>µg，推荐摄入量为60</w:t>
      </w:r>
      <w:r>
        <w:rPr>
          <w:rFonts w:ascii="仿宋_GB2312" w:hAnsi="宋体" w:eastAsia="仿宋_GB2312"/>
          <w:sz w:val="28"/>
          <w:szCs w:val="28"/>
        </w:rPr>
        <w:t xml:space="preserve"> </w:t>
      </w:r>
      <w:r>
        <w:rPr>
          <w:rFonts w:hint="eastAsia" w:ascii="仿宋_GB2312" w:hAnsi="宋体" w:eastAsia="仿宋_GB2312"/>
          <w:sz w:val="28"/>
          <w:szCs w:val="28"/>
        </w:rPr>
        <w:t>µg，可耐受最高摄入量为400</w:t>
      </w:r>
      <w:r>
        <w:rPr>
          <w:rFonts w:ascii="仿宋_GB2312" w:hAnsi="宋体" w:eastAsia="仿宋_GB2312"/>
          <w:sz w:val="28"/>
          <w:szCs w:val="28"/>
        </w:rPr>
        <w:t xml:space="preserve"> </w:t>
      </w:r>
      <w:r>
        <w:rPr>
          <w:rFonts w:hint="eastAsia" w:ascii="仿宋_GB2312" w:hAnsi="宋体" w:eastAsia="仿宋_GB2312"/>
          <w:sz w:val="28"/>
          <w:szCs w:val="28"/>
        </w:rPr>
        <w:t>µg。</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（8）综合国内外的日硒摄入量和营养标准,判别日硒安全摄入量      ≤400</w:t>
      </w:r>
      <w:r>
        <w:rPr>
          <w:rFonts w:ascii="仿宋_GB2312" w:hAnsi="宋体" w:eastAsia="仿宋_GB2312"/>
          <w:sz w:val="28"/>
          <w:szCs w:val="28"/>
        </w:rPr>
        <w:t xml:space="preserve"> </w:t>
      </w:r>
      <w:r>
        <w:rPr>
          <w:rFonts w:hint="eastAsia" w:ascii="仿宋_GB2312" w:hAnsi="宋体" w:eastAsia="仿宋_GB2312"/>
          <w:sz w:val="28"/>
          <w:szCs w:val="28"/>
        </w:rPr>
        <w:t>µg/d。</w:t>
      </w:r>
    </w:p>
    <w:p>
      <w:pPr>
        <w:pStyle w:val="2"/>
        <w:rPr>
          <w:sz w:val="32"/>
          <w:szCs w:val="32"/>
        </w:rPr>
      </w:pPr>
      <w:r>
        <w:rPr>
          <w:rFonts w:hint="eastAsia"/>
          <w:sz w:val="32"/>
          <w:szCs w:val="32"/>
        </w:rPr>
        <w:t>3、标准修订原则</w:t>
      </w:r>
    </w:p>
    <w:p>
      <w:pPr>
        <w:ind w:firstLine="560" w:firstLineChars="200"/>
        <w:jc w:val="left"/>
        <w:rPr>
          <w:rFonts w:ascii="仿宋_GB2312" w:hAnsi="宋体" w:eastAsia="仿宋_GB2312"/>
          <w:sz w:val="28"/>
          <w:szCs w:val="28"/>
        </w:rPr>
      </w:pPr>
      <w:r>
        <w:rPr>
          <w:rFonts w:hint="eastAsia" w:ascii="仿宋_GB2312" w:hAnsi="宋体" w:eastAsia="仿宋_GB2312"/>
          <w:sz w:val="28"/>
          <w:szCs w:val="28"/>
        </w:rPr>
        <w:t>本标准按照《湖北省地方标准管理办法》、《标准化工作导则 第1部分：标准化文件的结构和起草规则》（</w:t>
      </w:r>
      <w:r>
        <w:rPr>
          <w:rFonts w:ascii="仿宋_GB2312" w:hAnsi="宋体" w:eastAsia="仿宋_GB2312"/>
          <w:sz w:val="28"/>
          <w:szCs w:val="28"/>
        </w:rPr>
        <w:t>GB/T 1.1-20</w:t>
      </w:r>
      <w:r>
        <w:rPr>
          <w:rFonts w:hint="eastAsia" w:ascii="仿宋_GB2312" w:hAnsi="宋体" w:eastAsia="仿宋_GB2312"/>
          <w:sz w:val="28"/>
          <w:szCs w:val="28"/>
        </w:rPr>
        <w:t>20）等的规定编写。通过查阅文献、组织专家论证、收集典型样品、分析样品检测结果、编制标准草案、征求专家意见后形成标准文本。</w:t>
      </w:r>
    </w:p>
    <w:p>
      <w:pPr>
        <w:pStyle w:val="2"/>
        <w:rPr>
          <w:sz w:val="32"/>
          <w:szCs w:val="32"/>
        </w:rPr>
      </w:pPr>
      <w:r>
        <w:rPr>
          <w:rFonts w:hint="eastAsia"/>
          <w:sz w:val="32"/>
          <w:szCs w:val="32"/>
        </w:rPr>
        <w:t>4、标准主要条款修改内容的说明</w:t>
      </w:r>
    </w:p>
    <w:p>
      <w:pPr>
        <w:pStyle w:val="3"/>
      </w:pPr>
      <w:r>
        <w:rPr>
          <w:rFonts w:hint="eastAsia"/>
        </w:rPr>
        <w:t>4.1 范围</w:t>
      </w:r>
    </w:p>
    <w:p>
      <w:pPr>
        <w:pStyle w:val="23"/>
        <w:ind w:firstLine="560"/>
        <w:rPr>
          <w:rFonts w:ascii="仿宋_GB2312" w:hAnsi="宋体" w:eastAsia="仿宋_GB2312"/>
          <w:sz w:val="28"/>
          <w:szCs w:val="28"/>
        </w:rPr>
      </w:pPr>
      <w:r>
        <w:rPr>
          <w:rFonts w:hint="eastAsia" w:ascii="仿宋_GB2312" w:hAnsi="宋体" w:eastAsia="仿宋_GB2312"/>
          <w:sz w:val="28"/>
          <w:szCs w:val="28"/>
        </w:rPr>
        <w:t>（1）缺硒导致人体出现各种疾病，自然界无机态的硒很难直接为人所吸收利用，且过量摄取无机形态的硒会危害人体健康，越来越多的研究表明，经植物、动物等转化的有机态硒具有安全性更高，吸收更好，应用价值更广泛的特点，而富硒生物产品是人体补充硒元素、增强对各种疾病抵抗力的有效途径</w:t>
      </w:r>
      <w:r>
        <w:rPr>
          <w:rFonts w:hint="eastAsia" w:ascii="仿宋_GB2312" w:hAnsi="宋体" w:eastAsia="仿宋_GB2312"/>
          <w:sz w:val="28"/>
          <w:szCs w:val="28"/>
          <w:vertAlign w:val="superscript"/>
        </w:rPr>
        <w:t xml:space="preserve"> [4-6]</w:t>
      </w:r>
      <w:r>
        <w:rPr>
          <w:rFonts w:hint="eastAsia" w:ascii="仿宋_GB2312" w:hAnsi="宋体" w:eastAsia="仿宋_GB2312"/>
          <w:sz w:val="28"/>
          <w:szCs w:val="28"/>
        </w:rPr>
        <w:t>。目前对于“富硒土壤”全国并没有统一的标准，用“含硒土壤”更加准确。因此，在标准适用范围中将原标准“本标准适用于种植（养殖）、生长在富硒土壤或通过生物转化等措施生产的富含有机硒的农副产品及其加工产品”修改为“本文件适用于种植（养殖）、生长在含硒土壤或通过生物转化等措施生产的富含有机硒的食品”。</w:t>
      </w:r>
    </w:p>
    <w:p>
      <w:pPr>
        <w:pStyle w:val="23"/>
        <w:ind w:firstLine="560"/>
        <w:rPr>
          <w:rFonts w:ascii="仿宋_GB2312" w:hAnsi="宋体" w:eastAsia="仿宋_GB2312"/>
          <w:sz w:val="28"/>
          <w:szCs w:val="28"/>
        </w:rPr>
      </w:pPr>
      <w:r>
        <w:rPr>
          <w:rFonts w:hint="eastAsia" w:ascii="仿宋_GB2312" w:hAnsi="宋体" w:eastAsia="仿宋_GB2312"/>
          <w:sz w:val="28"/>
          <w:szCs w:val="28"/>
        </w:rPr>
        <w:t>（2）在原标准“本标准不适于在加工过程中添加硒的强化食品”的基础上增加一项，最终修改为“本文件不适用于在加工过程中添加硒的强化食品和以精深加工工艺（如提取、压榨等）获得硒源进行制备的食品”。即本标准不适用于压片糖果类、膳食营养补充剂等产品。</w:t>
      </w:r>
    </w:p>
    <w:p>
      <w:pPr>
        <w:pStyle w:val="3"/>
      </w:pPr>
      <w:r>
        <w:rPr>
          <w:rFonts w:hint="eastAsia"/>
        </w:rPr>
        <w:t>4.2 术语和定义</w:t>
      </w:r>
    </w:p>
    <w:p>
      <w:pPr>
        <w:pStyle w:val="3"/>
      </w:pPr>
      <w:r>
        <w:rPr>
          <w:rFonts w:hint="eastAsia"/>
        </w:rPr>
        <w:t>4.2.1 富有机硒食品</w:t>
      </w:r>
    </w:p>
    <w:p>
      <w:pPr>
        <w:ind w:firstLine="560" w:firstLineChars="200"/>
        <w:rPr>
          <w:rFonts w:ascii="仿宋_GB2312" w:hAnsi="宋体" w:eastAsia="仿宋_GB2312"/>
          <w:sz w:val="28"/>
          <w:szCs w:val="28"/>
        </w:rPr>
      </w:pPr>
      <w:r>
        <w:rPr>
          <w:rFonts w:hint="eastAsia" w:ascii="仿宋_GB2312" w:hAnsi="宋体" w:eastAsia="仿宋_GB2312"/>
          <w:sz w:val="28"/>
          <w:szCs w:val="28"/>
        </w:rPr>
        <w:t>将原标准中“富有机硒食品”的定义修改为：食品中总硒含量达到本文件规定要求，且有机硒占总硒质量百分比（以下简称“有机硒占比”）≥80%的食品。</w:t>
      </w:r>
    </w:p>
    <w:p>
      <w:pPr>
        <w:pStyle w:val="3"/>
      </w:pPr>
      <w:r>
        <w:rPr>
          <w:rFonts w:hint="eastAsia"/>
        </w:rPr>
        <w:t>4.3硒含量要求</w:t>
      </w:r>
    </w:p>
    <w:p>
      <w:pPr>
        <w:ind w:firstLine="560" w:firstLineChars="200"/>
        <w:rPr>
          <w:rFonts w:ascii="仿宋_GB2312" w:hAnsi="宋体" w:eastAsia="仿宋_GB2312"/>
          <w:sz w:val="28"/>
          <w:szCs w:val="28"/>
        </w:rPr>
      </w:pPr>
      <w:r>
        <w:rPr>
          <w:rFonts w:hint="eastAsia" w:ascii="仿宋_GB2312" w:hAnsi="宋体" w:eastAsia="仿宋_GB2312"/>
          <w:sz w:val="28"/>
          <w:szCs w:val="28"/>
        </w:rPr>
        <w:t>本文件中仅规定了食品中总硒含量、有机硒占比的要求，其他指标应符合相应的食品安全国家标准的规定。</w:t>
      </w:r>
    </w:p>
    <w:p>
      <w:pPr>
        <w:pStyle w:val="3"/>
      </w:pPr>
      <w:r>
        <w:rPr>
          <w:rFonts w:hint="eastAsia"/>
        </w:rPr>
        <w:t>4.3.1</w:t>
      </w:r>
      <w:r>
        <w:t xml:space="preserve"> </w:t>
      </w:r>
      <w:r>
        <w:rPr>
          <w:rFonts w:hint="eastAsia"/>
        </w:rPr>
        <w:t>产品分类</w:t>
      </w:r>
    </w:p>
    <w:p>
      <w:pPr>
        <w:ind w:firstLine="560" w:firstLineChars="200"/>
        <w:rPr>
          <w:rFonts w:ascii="仿宋_GB2312" w:hAnsi="宋体" w:eastAsia="仿宋_GB2312"/>
          <w:sz w:val="28"/>
          <w:szCs w:val="28"/>
        </w:rPr>
      </w:pPr>
      <w:r>
        <w:rPr>
          <w:rFonts w:hint="eastAsia" w:ascii="仿宋_GB2312" w:hAnsi="宋体" w:eastAsia="仿宋_GB2312"/>
          <w:sz w:val="28"/>
          <w:szCs w:val="28"/>
        </w:rPr>
        <w:t>将本标准中食品</w:t>
      </w:r>
      <w:r>
        <w:rPr>
          <w:rFonts w:hint="eastAsia" w:ascii="仿宋_GB2312" w:eastAsia="仿宋_GB2312"/>
          <w:sz w:val="32"/>
          <w:szCs w:val="32"/>
        </w:rPr>
        <w:t>食品</w:t>
      </w:r>
      <w:r>
        <w:rPr>
          <w:rFonts w:hint="eastAsia" w:ascii="仿宋_GB2312" w:hAnsi="宋体" w:eastAsia="仿宋_GB2312"/>
          <w:sz w:val="28"/>
          <w:szCs w:val="28"/>
        </w:rPr>
        <w:t>分类参照《食品安全国家标准 食品中污染物限量》（GB</w:t>
      </w:r>
      <w:r>
        <w:rPr>
          <w:rFonts w:ascii="仿宋_GB2312" w:hAnsi="宋体" w:eastAsia="仿宋_GB2312"/>
          <w:sz w:val="28"/>
          <w:szCs w:val="28"/>
        </w:rPr>
        <w:t xml:space="preserve"> </w:t>
      </w:r>
      <w:r>
        <w:rPr>
          <w:rFonts w:hint="eastAsia" w:ascii="仿宋_GB2312" w:hAnsi="宋体" w:eastAsia="仿宋_GB2312"/>
          <w:sz w:val="28"/>
          <w:szCs w:val="28"/>
        </w:rPr>
        <w:t>2762-2017）作修改，分为谷物及其制品，蔬菜及其制品，水果及其制品，食用菌及其制品，豆类及其制品，茶叶、代用茶、茶制品，肉及肉制品，蛋及蛋制品，水产动物及其制品。《富有机硒食品硒含量要求》(DBS42/002—2014)颁布实施以来，特色富有机硒食品为人们补硒提供了多种选择，且未查实任何涉硒食品安全问题的报道，故本次修订沿用原标准总硒范围，总硒含量指标不作修改。有机硒占比不变（有机硒占总硒质量百分比≥80%）。</w:t>
      </w:r>
    </w:p>
    <w:p>
      <w:pPr>
        <w:pStyle w:val="3"/>
      </w:pPr>
      <w:r>
        <w:rPr>
          <w:rFonts w:hint="eastAsia"/>
        </w:rPr>
        <w:t>4.3.2 样品总硒含量检测情况</w:t>
      </w:r>
    </w:p>
    <w:p>
      <w:pPr>
        <w:pStyle w:val="23"/>
        <w:ind w:firstLine="560"/>
        <w:rPr>
          <w:rFonts w:ascii="仿宋_GB2312" w:hAnsi="宋体" w:eastAsia="仿宋_GB2312"/>
          <w:kern w:val="2"/>
          <w:sz w:val="28"/>
          <w:szCs w:val="28"/>
        </w:rPr>
      </w:pPr>
      <w:r>
        <w:rPr>
          <w:rFonts w:hint="eastAsia" w:ascii="仿宋_GB2312" w:hAnsi="宋体" w:eastAsia="仿宋_GB2312"/>
          <w:kern w:val="2"/>
          <w:sz w:val="28"/>
          <w:szCs w:val="28"/>
        </w:rPr>
        <w:t>总硒含量数据来源于州公共检验检测中心检测的湖北省内的含硒样品共</w:t>
      </w:r>
      <w:r>
        <w:rPr>
          <w:rFonts w:hint="eastAsia" w:ascii="仿宋_GB2312" w:hAnsi="宋体" w:eastAsia="仿宋_GB2312"/>
          <w:sz w:val="28"/>
          <w:szCs w:val="28"/>
        </w:rPr>
        <w:t>3682</w:t>
      </w:r>
      <w:r>
        <w:rPr>
          <w:rFonts w:hint="eastAsia" w:ascii="仿宋_GB2312" w:hAnsi="宋体" w:eastAsia="仿宋_GB2312"/>
          <w:kern w:val="2"/>
          <w:sz w:val="28"/>
          <w:szCs w:val="28"/>
        </w:rPr>
        <w:t>批次，产品种类涵盖</w:t>
      </w:r>
      <w:r>
        <w:rPr>
          <w:rFonts w:hint="eastAsia" w:ascii="仿宋_GB2312" w:hAnsi="宋体" w:eastAsia="仿宋_GB2312"/>
          <w:sz w:val="28"/>
          <w:szCs w:val="28"/>
        </w:rPr>
        <w:t>谷物及其制品，蔬菜及其制品，豆类及其制品，食用菌及其制品，水果及其制品，茶叶、代用茶、茶制品，肉及肉制品，蛋及蛋制品，水产动物及其制品</w:t>
      </w:r>
      <w:r>
        <w:rPr>
          <w:rFonts w:hint="eastAsia" w:ascii="仿宋_GB2312" w:hAnsi="宋体" w:eastAsia="仿宋_GB2312"/>
          <w:kern w:val="2"/>
          <w:sz w:val="28"/>
          <w:szCs w:val="28"/>
        </w:rPr>
        <w:t>等。各区间总硒含量样品数占该类产品检测总数百分比分别汇总如下:</w:t>
      </w:r>
    </w:p>
    <w:p>
      <w:pPr>
        <w:jc w:val="center"/>
      </w:pPr>
      <w:r>
        <w:drawing>
          <wp:inline distT="0" distB="0" distL="0" distR="0">
            <wp:extent cx="3327400" cy="2390775"/>
            <wp:effectExtent l="19050" t="0" r="25400" b="0"/>
            <wp:docPr id="1" name="对象 1"/>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jc w:val="center"/>
      </w:pPr>
      <w:r>
        <w:drawing>
          <wp:inline distT="0" distB="0" distL="0" distR="0">
            <wp:extent cx="3346450" cy="2381250"/>
            <wp:effectExtent l="19050" t="0" r="25400" b="0"/>
            <wp:docPr id="6" name="对象 6"/>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jc w:val="center"/>
      </w:pPr>
      <w:r>
        <w:drawing>
          <wp:inline distT="0" distB="0" distL="0" distR="0">
            <wp:extent cx="3384550" cy="2438400"/>
            <wp:effectExtent l="19050" t="0" r="25400" b="0"/>
            <wp:docPr id="13" name="对象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pPr>
        <w:jc w:val="center"/>
      </w:pPr>
      <w:r>
        <w:drawing>
          <wp:inline distT="0" distB="0" distL="0" distR="0">
            <wp:extent cx="3352800" cy="2406650"/>
            <wp:effectExtent l="19050" t="0" r="19050" b="0"/>
            <wp:docPr id="2" name="对象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jc w:val="center"/>
      </w:pPr>
      <w:r>
        <w:drawing>
          <wp:inline distT="0" distB="0" distL="0" distR="0">
            <wp:extent cx="3371850" cy="2486025"/>
            <wp:effectExtent l="19050" t="0" r="19050" b="0"/>
            <wp:docPr id="3" name="对象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jc w:val="center"/>
      </w:pPr>
      <w:r>
        <w:drawing>
          <wp:inline distT="0" distB="0" distL="0" distR="0">
            <wp:extent cx="3384550" cy="2590800"/>
            <wp:effectExtent l="19050" t="0" r="25400" b="0"/>
            <wp:docPr id="5" name="对象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jc w:val="center"/>
      </w:pPr>
      <w:r>
        <w:drawing>
          <wp:inline distT="0" distB="0" distL="0" distR="0">
            <wp:extent cx="3384550" cy="2667000"/>
            <wp:effectExtent l="19050" t="0" r="25400" b="0"/>
            <wp:docPr id="8" name="对象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jc w:val="center"/>
      </w:pPr>
      <w:r>
        <w:drawing>
          <wp:inline distT="0" distB="0" distL="0" distR="0">
            <wp:extent cx="3384550" cy="2714625"/>
            <wp:effectExtent l="19050" t="0" r="25400" b="0"/>
            <wp:docPr id="4" name="对象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jc w:val="center"/>
      </w:pPr>
    </w:p>
    <w:p>
      <w:pPr>
        <w:jc w:val="center"/>
      </w:pPr>
      <w:r>
        <w:drawing>
          <wp:inline distT="0" distB="0" distL="0" distR="0">
            <wp:extent cx="3334385" cy="2639060"/>
            <wp:effectExtent l="19050" t="0" r="17972" b="8267"/>
            <wp:docPr id="10" name="对象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jc w:val="center"/>
      </w:pPr>
      <w:r>
        <w:drawing>
          <wp:inline distT="0" distB="0" distL="0" distR="0">
            <wp:extent cx="3333750" cy="2622550"/>
            <wp:effectExtent l="19050" t="0" r="19050" b="6350"/>
            <wp:docPr id="11" name="图表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pPr>
        <w:jc w:val="center"/>
      </w:pPr>
      <w:r>
        <w:drawing>
          <wp:inline distT="0" distB="0" distL="0" distR="0">
            <wp:extent cx="3352800" cy="2749550"/>
            <wp:effectExtent l="19050" t="0" r="19050" b="0"/>
            <wp:docPr id="12" name="对象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pPr>
        <w:jc w:val="center"/>
      </w:pPr>
      <w:r>
        <w:drawing>
          <wp:inline distT="0" distB="0" distL="0" distR="0">
            <wp:extent cx="3371850" cy="2578100"/>
            <wp:effectExtent l="19050" t="0" r="19050" b="0"/>
            <wp:docPr id="7" name="对象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pPr>
        <w:widowControl/>
        <w:jc w:val="left"/>
        <w:rPr>
          <w:rFonts w:ascii="仿宋_GB2312" w:hAnsi="宋体" w:eastAsia="仿宋_GB2312"/>
          <w:sz w:val="28"/>
          <w:szCs w:val="28"/>
        </w:rPr>
      </w:pPr>
      <w:r>
        <w:rPr>
          <w:rFonts w:ascii="仿宋_GB2312" w:hAnsi="宋体" w:eastAsia="仿宋_GB2312"/>
          <w:sz w:val="28"/>
          <w:szCs w:val="28"/>
        </w:rPr>
        <w:br w:type="page"/>
      </w:r>
    </w:p>
    <w:p>
      <w:pPr>
        <w:pStyle w:val="3"/>
      </w:pPr>
      <w:r>
        <w:rPr>
          <w:rFonts w:hint="eastAsia"/>
        </w:rPr>
        <w:t>4.3.3</w:t>
      </w:r>
      <w:r>
        <w:t xml:space="preserve"> </w:t>
      </w:r>
      <w:bookmarkStart w:id="0" w:name="_Hlk57672760"/>
      <w:r>
        <w:rPr>
          <w:rFonts w:hint="eastAsia"/>
        </w:rPr>
        <w:t>样品有机硒检测情况</w:t>
      </w:r>
    </w:p>
    <w:p>
      <w:pPr>
        <w:ind w:firstLine="560" w:firstLineChars="200"/>
        <w:rPr>
          <w:sz w:val="28"/>
          <w:szCs w:val="28"/>
        </w:rPr>
      </w:pPr>
      <w:r>
        <w:rPr>
          <w:rFonts w:hint="eastAsia" w:ascii="仿宋_GB2312" w:hAnsi="宋体" w:eastAsia="仿宋_GB2312"/>
          <w:sz w:val="28"/>
          <w:szCs w:val="28"/>
        </w:rPr>
        <w:t>共检测1778批次含硒样品的有机硒含量，产品种类涵盖谷物及其制品，蔬菜及其制品，豆类及其制品，食用菌及其制品，水果及其制品，茶叶、代用茶、茶制品，坚果及籽类，肉及肉制品，蛋及蛋制品，水产动物及其制品等。各类食用农产品有机硒占比≥80%的样品数占检测样品总数百分比见表2，根据检测数据，绝大部分产品都能够满足有机硒占比≥80%，因此原标准中有机硒占比指标不作调整。</w:t>
      </w:r>
    </w:p>
    <w:p>
      <w:pPr>
        <w:jc w:val="center"/>
        <w:rPr>
          <w:rFonts w:ascii="黑体" w:hAnsi="黑体" w:eastAsia="黑体"/>
          <w:sz w:val="28"/>
          <w:szCs w:val="28"/>
        </w:rPr>
      </w:pPr>
      <w:r>
        <w:rPr>
          <w:rFonts w:hint="eastAsia" w:ascii="黑体" w:hAnsi="黑体" w:eastAsia="黑体"/>
          <w:sz w:val="28"/>
          <w:szCs w:val="28"/>
        </w:rPr>
        <w:t>表1 样品有机硒含量数据汇总</w:t>
      </w:r>
    </w:p>
    <w:tbl>
      <w:tblPr>
        <w:tblStyle w:val="12"/>
        <w:tblW w:w="0" w:type="auto"/>
        <w:tblInd w:w="250" w:type="dxa"/>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Layout w:type="autofit"/>
        <w:tblCellMar>
          <w:top w:w="0" w:type="dxa"/>
          <w:left w:w="108" w:type="dxa"/>
          <w:bottom w:w="0" w:type="dxa"/>
          <w:right w:w="108" w:type="dxa"/>
        </w:tblCellMar>
      </w:tblPr>
      <w:tblGrid>
        <w:gridCol w:w="2268"/>
        <w:gridCol w:w="1693"/>
        <w:gridCol w:w="1665"/>
        <w:gridCol w:w="186"/>
        <w:gridCol w:w="1843"/>
      </w:tblGrid>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c>
          <w:tcPr>
            <w:tcW w:w="2268" w:type="dxa"/>
            <w:tcBorders>
              <w:bottom w:val="single" w:color="auto" w:sz="12" w:space="0"/>
            </w:tcBorders>
            <w:vAlign w:val="center"/>
          </w:tcPr>
          <w:p>
            <w:pPr>
              <w:jc w:val="center"/>
              <w:rPr>
                <w:rFonts w:ascii="仿宋" w:hAnsi="仿宋" w:eastAsia="仿宋"/>
                <w:sz w:val="24"/>
                <w:szCs w:val="24"/>
              </w:rPr>
            </w:pPr>
            <w:r>
              <w:rPr>
                <w:rFonts w:hint="eastAsia" w:ascii="仿宋" w:hAnsi="仿宋" w:eastAsia="仿宋"/>
                <w:sz w:val="24"/>
                <w:szCs w:val="24"/>
              </w:rPr>
              <w:t>产品类别</w:t>
            </w:r>
          </w:p>
        </w:tc>
        <w:tc>
          <w:tcPr>
            <w:tcW w:w="1693" w:type="dxa"/>
            <w:tcBorders>
              <w:bottom w:val="single" w:color="auto" w:sz="12" w:space="0"/>
            </w:tcBorders>
            <w:vAlign w:val="center"/>
          </w:tcPr>
          <w:p>
            <w:pPr>
              <w:jc w:val="center"/>
              <w:rPr>
                <w:rFonts w:ascii="仿宋" w:hAnsi="仿宋" w:eastAsia="仿宋"/>
                <w:sz w:val="24"/>
                <w:szCs w:val="24"/>
              </w:rPr>
            </w:pPr>
            <w:r>
              <w:rPr>
                <w:rFonts w:hint="eastAsia" w:ascii="仿宋" w:hAnsi="仿宋" w:eastAsia="仿宋"/>
                <w:sz w:val="24"/>
                <w:szCs w:val="24"/>
              </w:rPr>
              <w:t>检验样品总数（批次）</w:t>
            </w:r>
          </w:p>
        </w:tc>
        <w:tc>
          <w:tcPr>
            <w:tcW w:w="1851" w:type="dxa"/>
            <w:gridSpan w:val="2"/>
            <w:tcBorders>
              <w:bottom w:val="single" w:color="auto" w:sz="12" w:space="0"/>
            </w:tcBorders>
            <w:vAlign w:val="center"/>
          </w:tcPr>
          <w:p>
            <w:pPr>
              <w:jc w:val="center"/>
              <w:rPr>
                <w:rFonts w:ascii="仿宋" w:hAnsi="仿宋" w:eastAsia="仿宋"/>
                <w:sz w:val="24"/>
                <w:szCs w:val="24"/>
              </w:rPr>
            </w:pPr>
            <w:r>
              <w:rPr>
                <w:rFonts w:hint="eastAsia" w:ascii="仿宋" w:hAnsi="仿宋" w:eastAsia="仿宋"/>
                <w:sz w:val="24"/>
                <w:szCs w:val="24"/>
              </w:rPr>
              <w:t>有机硒占比≥80%的样品数量（批次）</w:t>
            </w:r>
          </w:p>
        </w:tc>
        <w:tc>
          <w:tcPr>
            <w:tcW w:w="1843" w:type="dxa"/>
            <w:tcBorders>
              <w:bottom w:val="single" w:color="auto" w:sz="12" w:space="0"/>
            </w:tcBorders>
            <w:vAlign w:val="center"/>
          </w:tcPr>
          <w:p>
            <w:pPr>
              <w:jc w:val="center"/>
              <w:rPr>
                <w:rFonts w:ascii="仿宋" w:hAnsi="仿宋" w:eastAsia="仿宋"/>
                <w:sz w:val="24"/>
                <w:szCs w:val="24"/>
              </w:rPr>
            </w:pPr>
            <w:r>
              <w:rPr>
                <w:rFonts w:hint="eastAsia" w:ascii="仿宋" w:hAnsi="仿宋" w:eastAsia="仿宋"/>
                <w:sz w:val="24"/>
                <w:szCs w:val="24"/>
              </w:rPr>
              <w:t>有机硒占比≥80%的样品占样品总数百分比（%）</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bottom w:val="nil"/>
            </w:tcBorders>
            <w:vAlign w:val="center"/>
          </w:tcPr>
          <w:p>
            <w:pPr>
              <w:jc w:val="center"/>
              <w:rPr>
                <w:rFonts w:ascii="仿宋" w:hAnsi="仿宋" w:eastAsia="仿宋"/>
                <w:sz w:val="24"/>
                <w:szCs w:val="24"/>
              </w:rPr>
            </w:pPr>
            <w:r>
              <w:rPr>
                <w:rFonts w:hint="eastAsia" w:ascii="仿宋" w:hAnsi="仿宋" w:eastAsia="仿宋"/>
                <w:sz w:val="24"/>
                <w:szCs w:val="24"/>
              </w:rPr>
              <w:t>谷物及其制品</w:t>
            </w:r>
          </w:p>
        </w:tc>
        <w:tc>
          <w:tcPr>
            <w:tcW w:w="1693" w:type="dxa"/>
            <w:tcBorders>
              <w:bottom w:val="nil"/>
            </w:tcBorders>
            <w:vAlign w:val="center"/>
          </w:tcPr>
          <w:p>
            <w:pPr>
              <w:jc w:val="center"/>
              <w:rPr>
                <w:rFonts w:ascii="仿宋" w:hAnsi="仿宋" w:eastAsia="仿宋"/>
                <w:sz w:val="24"/>
                <w:szCs w:val="24"/>
              </w:rPr>
            </w:pPr>
            <w:r>
              <w:rPr>
                <w:rFonts w:ascii="仿宋" w:hAnsi="仿宋" w:eastAsia="仿宋"/>
                <w:sz w:val="24"/>
                <w:szCs w:val="24"/>
              </w:rPr>
              <w:t>435</w:t>
            </w:r>
          </w:p>
        </w:tc>
        <w:tc>
          <w:tcPr>
            <w:tcW w:w="1665" w:type="dxa"/>
            <w:tcBorders>
              <w:bottom w:val="nil"/>
            </w:tcBorders>
            <w:vAlign w:val="center"/>
          </w:tcPr>
          <w:p>
            <w:pPr>
              <w:jc w:val="center"/>
              <w:rPr>
                <w:rFonts w:ascii="仿宋" w:hAnsi="仿宋" w:eastAsia="仿宋"/>
                <w:sz w:val="24"/>
                <w:szCs w:val="24"/>
              </w:rPr>
            </w:pPr>
            <w:r>
              <w:rPr>
                <w:rFonts w:ascii="仿宋" w:hAnsi="仿宋" w:eastAsia="仿宋"/>
                <w:sz w:val="24"/>
                <w:szCs w:val="24"/>
              </w:rPr>
              <w:t>419</w:t>
            </w:r>
          </w:p>
        </w:tc>
        <w:tc>
          <w:tcPr>
            <w:tcW w:w="2029" w:type="dxa"/>
            <w:gridSpan w:val="2"/>
            <w:tcBorders>
              <w:bottom w:val="nil"/>
            </w:tcBorders>
            <w:vAlign w:val="center"/>
          </w:tcPr>
          <w:p>
            <w:pPr>
              <w:jc w:val="center"/>
              <w:rPr>
                <w:rFonts w:ascii="仿宋" w:hAnsi="仿宋" w:eastAsia="仿宋"/>
                <w:sz w:val="24"/>
                <w:szCs w:val="24"/>
              </w:rPr>
            </w:pPr>
            <w:r>
              <w:rPr>
                <w:rFonts w:ascii="仿宋" w:hAnsi="仿宋" w:eastAsia="仿宋"/>
                <w:sz w:val="24"/>
                <w:szCs w:val="24"/>
              </w:rPr>
              <w:t>96.3%</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豆类及其制品</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80</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67</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83.8%</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薯类及其制品</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75</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62</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82.7%</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大蒜、西兰花、甘蓝</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35</w:t>
            </w:r>
          </w:p>
        </w:tc>
        <w:tc>
          <w:tcPr>
            <w:tcW w:w="1665"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31</w:t>
            </w:r>
          </w:p>
        </w:tc>
        <w:tc>
          <w:tcPr>
            <w:tcW w:w="2029" w:type="dxa"/>
            <w:gridSpan w:val="2"/>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88</w:t>
            </w:r>
            <w:r>
              <w:rPr>
                <w:rFonts w:ascii="仿宋" w:hAnsi="仿宋" w:eastAsia="仿宋"/>
                <w:sz w:val="24"/>
                <w:szCs w:val="24"/>
              </w:rPr>
              <w:t>.</w:t>
            </w:r>
            <w:r>
              <w:rPr>
                <w:rFonts w:hint="eastAsia" w:ascii="仿宋" w:hAnsi="仿宋" w:eastAsia="仿宋"/>
                <w:sz w:val="24"/>
                <w:szCs w:val="24"/>
              </w:rPr>
              <w:t>6</w:t>
            </w:r>
            <w:r>
              <w:rPr>
                <w:rFonts w:ascii="仿宋" w:hAnsi="仿宋" w:eastAsia="仿宋"/>
                <w:sz w:val="24"/>
                <w:szCs w:val="24"/>
              </w:rPr>
              <w:t>%</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其他蔬菜及其制品</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111</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98</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88.3%</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食用菌及其制品</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57</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4</w:t>
            </w:r>
            <w:r>
              <w:rPr>
                <w:rFonts w:hint="eastAsia" w:ascii="仿宋" w:hAnsi="仿宋" w:eastAsia="仿宋"/>
                <w:sz w:val="24"/>
                <w:szCs w:val="24"/>
              </w:rPr>
              <w:t>7</w:t>
            </w:r>
          </w:p>
        </w:tc>
        <w:tc>
          <w:tcPr>
            <w:tcW w:w="2029" w:type="dxa"/>
            <w:gridSpan w:val="2"/>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82</w:t>
            </w:r>
            <w:r>
              <w:rPr>
                <w:rFonts w:ascii="仿宋" w:hAnsi="仿宋" w:eastAsia="仿宋"/>
                <w:sz w:val="24"/>
                <w:szCs w:val="24"/>
              </w:rPr>
              <w:t>.</w:t>
            </w:r>
            <w:r>
              <w:rPr>
                <w:rFonts w:hint="eastAsia" w:ascii="仿宋" w:hAnsi="仿宋" w:eastAsia="仿宋"/>
                <w:sz w:val="24"/>
                <w:szCs w:val="24"/>
              </w:rPr>
              <w:t>5</w:t>
            </w:r>
            <w:r>
              <w:rPr>
                <w:rFonts w:ascii="仿宋" w:hAnsi="仿宋" w:eastAsia="仿宋"/>
                <w:sz w:val="24"/>
                <w:szCs w:val="24"/>
              </w:rPr>
              <w:t>%</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水果及其制品</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40</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3</w:t>
            </w:r>
            <w:r>
              <w:rPr>
                <w:rFonts w:hint="eastAsia" w:ascii="仿宋" w:hAnsi="仿宋" w:eastAsia="仿宋"/>
                <w:sz w:val="24"/>
                <w:szCs w:val="24"/>
              </w:rPr>
              <w:t>7</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9</w:t>
            </w:r>
            <w:r>
              <w:rPr>
                <w:rFonts w:hint="eastAsia" w:ascii="仿宋" w:hAnsi="仿宋" w:eastAsia="仿宋"/>
                <w:sz w:val="24"/>
                <w:szCs w:val="24"/>
              </w:rPr>
              <w:t>2</w:t>
            </w:r>
            <w:r>
              <w:rPr>
                <w:rFonts w:ascii="仿宋" w:hAnsi="仿宋" w:eastAsia="仿宋"/>
                <w:sz w:val="24"/>
                <w:szCs w:val="24"/>
              </w:rPr>
              <w:t>.</w:t>
            </w:r>
            <w:r>
              <w:rPr>
                <w:rFonts w:hint="eastAsia" w:ascii="仿宋" w:hAnsi="仿宋" w:eastAsia="仿宋"/>
                <w:sz w:val="24"/>
                <w:szCs w:val="24"/>
              </w:rPr>
              <w:t>5</w:t>
            </w:r>
            <w:r>
              <w:rPr>
                <w:rFonts w:ascii="仿宋" w:hAnsi="仿宋" w:eastAsia="仿宋"/>
                <w:sz w:val="24"/>
                <w:szCs w:val="24"/>
              </w:rPr>
              <w:t>%</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茶叶、代用茶、茶制品</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700</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663</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94.7%</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坚果及籽类</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29</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22</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75.9%</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鲜、冻肉及其制品</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40</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39</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97.5%</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畜、禽内脏</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12</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11</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91.7%</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bottom w:val="nil"/>
            </w:tcBorders>
            <w:vAlign w:val="center"/>
          </w:tcPr>
          <w:p>
            <w:pPr>
              <w:jc w:val="center"/>
              <w:rPr>
                <w:rFonts w:ascii="仿宋" w:hAnsi="仿宋" w:eastAsia="仿宋"/>
                <w:sz w:val="24"/>
                <w:szCs w:val="24"/>
              </w:rPr>
            </w:pPr>
            <w:r>
              <w:rPr>
                <w:rFonts w:hint="eastAsia" w:ascii="仿宋" w:hAnsi="仿宋" w:eastAsia="仿宋"/>
                <w:sz w:val="24"/>
                <w:szCs w:val="24"/>
              </w:rPr>
              <w:t>蛋及蛋制品</w:t>
            </w:r>
          </w:p>
        </w:tc>
        <w:tc>
          <w:tcPr>
            <w:tcW w:w="1693"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27</w:t>
            </w:r>
          </w:p>
        </w:tc>
        <w:tc>
          <w:tcPr>
            <w:tcW w:w="1665" w:type="dxa"/>
            <w:tcBorders>
              <w:top w:val="nil"/>
              <w:bottom w:val="nil"/>
            </w:tcBorders>
            <w:vAlign w:val="center"/>
          </w:tcPr>
          <w:p>
            <w:pPr>
              <w:jc w:val="center"/>
              <w:rPr>
                <w:rFonts w:ascii="仿宋" w:hAnsi="仿宋" w:eastAsia="仿宋"/>
                <w:sz w:val="24"/>
                <w:szCs w:val="24"/>
              </w:rPr>
            </w:pPr>
            <w:r>
              <w:rPr>
                <w:rFonts w:ascii="仿宋" w:hAnsi="仿宋" w:eastAsia="仿宋"/>
                <w:sz w:val="24"/>
                <w:szCs w:val="24"/>
              </w:rPr>
              <w:t>24</w:t>
            </w:r>
          </w:p>
        </w:tc>
        <w:tc>
          <w:tcPr>
            <w:tcW w:w="2029" w:type="dxa"/>
            <w:gridSpan w:val="2"/>
            <w:tcBorders>
              <w:top w:val="nil"/>
              <w:bottom w:val="nil"/>
            </w:tcBorders>
            <w:vAlign w:val="center"/>
          </w:tcPr>
          <w:p>
            <w:pPr>
              <w:jc w:val="center"/>
              <w:rPr>
                <w:rFonts w:ascii="仿宋" w:hAnsi="仿宋" w:eastAsia="仿宋"/>
                <w:sz w:val="24"/>
                <w:szCs w:val="24"/>
              </w:rPr>
            </w:pPr>
            <w:r>
              <w:rPr>
                <w:rFonts w:ascii="仿宋" w:hAnsi="仿宋" w:eastAsia="仿宋"/>
                <w:sz w:val="24"/>
                <w:szCs w:val="24"/>
              </w:rPr>
              <w:t>88.9%</w:t>
            </w:r>
          </w:p>
        </w:tc>
      </w:tr>
      <w:tr>
        <w:tblPrEx>
          <w:tblBorders>
            <w:top w:val="single" w:color="auto" w:sz="12" w:space="0"/>
            <w:left w:val="none" w:color="auto" w:sz="0" w:space="0"/>
            <w:bottom w:val="single" w:color="auto" w:sz="12" w:space="0"/>
            <w:right w:val="none" w:color="auto" w:sz="0" w:space="0"/>
            <w:insideH w:val="single" w:color="auto" w:sz="12" w:space="0"/>
            <w:insideV w:val="none" w:color="auto" w:sz="0" w:space="0"/>
          </w:tblBorders>
          <w:tblCellMar>
            <w:top w:w="0" w:type="dxa"/>
            <w:left w:w="108" w:type="dxa"/>
            <w:bottom w:w="0" w:type="dxa"/>
            <w:right w:w="108" w:type="dxa"/>
          </w:tblCellMar>
        </w:tblPrEx>
        <w:trPr>
          <w:trHeight w:val="454" w:hRule="atLeast"/>
        </w:trPr>
        <w:tc>
          <w:tcPr>
            <w:tcW w:w="2268" w:type="dxa"/>
            <w:tcBorders>
              <w:top w:val="nil"/>
            </w:tcBorders>
            <w:vAlign w:val="center"/>
          </w:tcPr>
          <w:p>
            <w:pPr>
              <w:jc w:val="center"/>
              <w:rPr>
                <w:rFonts w:ascii="仿宋" w:hAnsi="仿宋" w:eastAsia="仿宋"/>
                <w:sz w:val="24"/>
                <w:szCs w:val="24"/>
              </w:rPr>
            </w:pPr>
            <w:r>
              <w:rPr>
                <w:rFonts w:hint="eastAsia" w:ascii="仿宋" w:hAnsi="仿宋" w:eastAsia="仿宋"/>
                <w:sz w:val="24"/>
                <w:szCs w:val="24"/>
              </w:rPr>
              <w:t>水产动物及其制品</w:t>
            </w:r>
          </w:p>
        </w:tc>
        <w:tc>
          <w:tcPr>
            <w:tcW w:w="1693" w:type="dxa"/>
            <w:tcBorders>
              <w:top w:val="nil"/>
            </w:tcBorders>
            <w:vAlign w:val="center"/>
          </w:tcPr>
          <w:p>
            <w:pPr>
              <w:jc w:val="center"/>
              <w:rPr>
                <w:rFonts w:ascii="仿宋" w:hAnsi="仿宋" w:eastAsia="仿宋"/>
                <w:sz w:val="24"/>
                <w:szCs w:val="24"/>
              </w:rPr>
            </w:pPr>
            <w:r>
              <w:rPr>
                <w:rFonts w:ascii="仿宋" w:hAnsi="仿宋" w:eastAsia="仿宋"/>
                <w:sz w:val="24"/>
                <w:szCs w:val="24"/>
              </w:rPr>
              <w:t>166</w:t>
            </w:r>
          </w:p>
        </w:tc>
        <w:tc>
          <w:tcPr>
            <w:tcW w:w="1665" w:type="dxa"/>
            <w:tcBorders>
              <w:top w:val="nil"/>
            </w:tcBorders>
            <w:vAlign w:val="center"/>
          </w:tcPr>
          <w:p>
            <w:pPr>
              <w:jc w:val="center"/>
              <w:rPr>
                <w:rFonts w:ascii="仿宋" w:hAnsi="仿宋" w:eastAsia="仿宋"/>
                <w:sz w:val="24"/>
                <w:szCs w:val="24"/>
              </w:rPr>
            </w:pPr>
            <w:r>
              <w:rPr>
                <w:rFonts w:ascii="仿宋" w:hAnsi="仿宋" w:eastAsia="仿宋"/>
                <w:sz w:val="24"/>
                <w:szCs w:val="24"/>
              </w:rPr>
              <w:t>159</w:t>
            </w:r>
          </w:p>
        </w:tc>
        <w:tc>
          <w:tcPr>
            <w:tcW w:w="2029" w:type="dxa"/>
            <w:gridSpan w:val="2"/>
            <w:tcBorders>
              <w:top w:val="nil"/>
            </w:tcBorders>
            <w:vAlign w:val="center"/>
          </w:tcPr>
          <w:p>
            <w:pPr>
              <w:jc w:val="center"/>
              <w:rPr>
                <w:rFonts w:ascii="仿宋" w:hAnsi="仿宋" w:eastAsia="仿宋"/>
                <w:sz w:val="24"/>
                <w:szCs w:val="24"/>
              </w:rPr>
            </w:pPr>
            <w:r>
              <w:rPr>
                <w:rFonts w:ascii="仿宋" w:hAnsi="仿宋" w:eastAsia="仿宋"/>
                <w:sz w:val="24"/>
                <w:szCs w:val="24"/>
              </w:rPr>
              <w:t>95.8%</w:t>
            </w:r>
          </w:p>
        </w:tc>
      </w:tr>
      <w:bookmarkEnd w:id="0"/>
    </w:tbl>
    <w:p>
      <w:pPr>
        <w:rPr>
          <w:rFonts w:ascii="仿宋_GB2312" w:hAnsi="宋体" w:eastAsia="仿宋_GB2312"/>
          <w:sz w:val="28"/>
          <w:szCs w:val="28"/>
        </w:rPr>
      </w:pPr>
      <w:bookmarkStart w:id="1" w:name="_Hlk57675424"/>
    </w:p>
    <w:bookmarkEnd w:id="1"/>
    <w:p>
      <w:pPr>
        <w:pStyle w:val="3"/>
      </w:pPr>
      <w:r>
        <w:rPr>
          <w:rFonts w:hint="eastAsia"/>
        </w:rPr>
        <w:t>4.3.4 关注硒的形态</w:t>
      </w:r>
    </w:p>
    <w:p>
      <w:pPr>
        <w:ind w:firstLine="560" w:firstLineChars="200"/>
        <w:rPr>
          <w:rFonts w:ascii="仿宋_GB2312" w:hAnsi="宋体" w:eastAsia="仿宋_GB2312"/>
          <w:sz w:val="28"/>
          <w:szCs w:val="28"/>
        </w:rPr>
      </w:pPr>
      <w:r>
        <w:rPr>
          <w:rFonts w:hint="eastAsia" w:ascii="仿宋_GB2312" w:hAnsi="宋体" w:eastAsia="仿宋_GB2312"/>
          <w:sz w:val="28"/>
          <w:szCs w:val="28"/>
        </w:rPr>
        <w:t>根据相关文献报道：2</w:t>
      </w:r>
      <w:r>
        <w:rPr>
          <w:rFonts w:ascii="仿宋_GB2312" w:hAnsi="宋体" w:eastAsia="仿宋_GB2312"/>
          <w:sz w:val="28"/>
          <w:szCs w:val="28"/>
        </w:rPr>
        <w:t>018</w:t>
      </w:r>
      <w:r>
        <w:rPr>
          <w:rFonts w:hint="eastAsia" w:ascii="仿宋_GB2312" w:hAnsi="宋体" w:eastAsia="仿宋_GB2312"/>
          <w:sz w:val="28"/>
          <w:szCs w:val="28"/>
        </w:rPr>
        <w:t>年，</w:t>
      </w:r>
      <w:r>
        <w:rPr>
          <w:rFonts w:ascii="仿宋_GB2312" w:hAnsi="宋体" w:eastAsia="仿宋_GB2312"/>
          <w:sz w:val="28"/>
          <w:szCs w:val="28"/>
        </w:rPr>
        <w:t>Rohn I, Marschall TA等</w:t>
      </w:r>
      <w:r>
        <w:rPr>
          <w:rFonts w:hint="eastAsia" w:ascii="仿宋_GB2312" w:hAnsi="宋体" w:eastAsia="仿宋_GB2312"/>
          <w:sz w:val="28"/>
          <w:szCs w:val="28"/>
        </w:rPr>
        <w:t>人在</w:t>
      </w:r>
      <w:r>
        <w:rPr>
          <w:rFonts w:ascii="仿宋_GB2312" w:hAnsi="宋体" w:eastAsia="仿宋_GB2312"/>
          <w:sz w:val="28"/>
          <w:szCs w:val="28"/>
        </w:rPr>
        <w:t>一项对不同</w:t>
      </w:r>
      <w:r>
        <w:rPr>
          <w:rFonts w:hint="eastAsia" w:ascii="仿宋_GB2312" w:hAnsi="宋体" w:eastAsia="仿宋_GB2312"/>
          <w:sz w:val="28"/>
          <w:szCs w:val="28"/>
        </w:rPr>
        <w:t>硒</w:t>
      </w:r>
      <w:r>
        <w:rPr>
          <w:rFonts w:ascii="仿宋_GB2312" w:hAnsi="宋体" w:eastAsia="仿宋_GB2312"/>
          <w:sz w:val="28"/>
          <w:szCs w:val="28"/>
        </w:rPr>
        <w:t>形态</w:t>
      </w:r>
      <w:r>
        <w:rPr>
          <w:rFonts w:hint="eastAsia" w:ascii="仿宋_GB2312" w:hAnsi="宋体" w:eastAsia="仿宋_GB2312"/>
          <w:sz w:val="28"/>
          <w:szCs w:val="28"/>
        </w:rPr>
        <w:t>（亚硒酸钠、硒代蛋氨酸、甲基硒代半胱氨酸）</w:t>
      </w:r>
      <w:r>
        <w:rPr>
          <w:rFonts w:ascii="仿宋_GB2312" w:hAnsi="宋体" w:eastAsia="仿宋_GB2312"/>
          <w:sz w:val="28"/>
          <w:szCs w:val="28"/>
        </w:rPr>
        <w:t>的毒性、生物利用度和代谢转化的研究表明，有机硒的生物利用度</w:t>
      </w:r>
      <w:r>
        <w:rPr>
          <w:rFonts w:hint="eastAsia" w:ascii="仿宋_GB2312" w:hAnsi="宋体" w:eastAsia="仿宋_GB2312"/>
          <w:sz w:val="28"/>
          <w:szCs w:val="28"/>
        </w:rPr>
        <w:t>高于无机硒</w:t>
      </w:r>
      <w:r>
        <w:rPr>
          <w:rFonts w:ascii="仿宋_GB2312" w:hAnsi="宋体" w:eastAsia="仿宋_GB2312"/>
          <w:sz w:val="28"/>
          <w:szCs w:val="28"/>
        </w:rPr>
        <w:t>，</w:t>
      </w:r>
      <w:r>
        <w:rPr>
          <w:rFonts w:hint="eastAsia" w:ascii="仿宋_GB2312" w:hAnsi="宋体" w:eastAsia="仿宋_GB2312"/>
          <w:sz w:val="28"/>
          <w:szCs w:val="28"/>
        </w:rPr>
        <w:t>但</w:t>
      </w:r>
      <w:r>
        <w:rPr>
          <w:rFonts w:ascii="仿宋_GB2312" w:hAnsi="宋体" w:eastAsia="仿宋_GB2312"/>
          <w:sz w:val="28"/>
          <w:szCs w:val="28"/>
        </w:rPr>
        <w:t>毒性低</w:t>
      </w:r>
      <w:r>
        <w:rPr>
          <w:rFonts w:hint="eastAsia" w:ascii="仿宋_GB2312" w:hAnsi="宋体" w:eastAsia="仿宋_GB2312"/>
          <w:sz w:val="28"/>
          <w:szCs w:val="28"/>
        </w:rPr>
        <w:t>于无机硒</w:t>
      </w:r>
      <w:r>
        <w:rPr>
          <w:rFonts w:hint="eastAsia" w:ascii="仿宋_GB2312" w:hAnsi="宋体" w:eastAsia="仿宋_GB2312"/>
          <w:sz w:val="28"/>
          <w:szCs w:val="28"/>
          <w:vertAlign w:val="superscript"/>
        </w:rPr>
        <w:t>[7]</w:t>
      </w:r>
      <w:r>
        <w:rPr>
          <w:rFonts w:hint="eastAsia" w:ascii="仿宋_GB2312" w:hAnsi="宋体" w:eastAsia="仿宋_GB2312"/>
          <w:sz w:val="28"/>
          <w:szCs w:val="28"/>
        </w:rPr>
        <w:t>。2017年</w:t>
      </w:r>
      <w:r>
        <w:rPr>
          <w:rFonts w:ascii="仿宋_GB2312" w:hAnsi="宋体" w:eastAsia="仿宋_GB2312"/>
          <w:sz w:val="28"/>
          <w:szCs w:val="28"/>
        </w:rPr>
        <w:t>Berntssen M , Sundal T K 等人在一项有机硒（富硒酵母）和无机硒（亚硒酸钠）对海洋生物的安全性对比研究表明，大剂量无机硒可以通过氧化应激反应，引起脂质代谢紊乱，食欲降低等反应，而同样剂量的有机硒则没有此类副作用</w:t>
      </w:r>
      <w:r>
        <w:rPr>
          <w:rFonts w:hint="eastAsia" w:ascii="仿宋_GB2312" w:hAnsi="宋体" w:eastAsia="仿宋_GB2312"/>
          <w:sz w:val="28"/>
          <w:szCs w:val="28"/>
          <w:vertAlign w:val="superscript"/>
        </w:rPr>
        <w:t>[8]</w:t>
      </w:r>
      <w:r>
        <w:rPr>
          <w:rFonts w:hint="eastAsia" w:ascii="仿宋_GB2312" w:hAnsi="宋体" w:eastAsia="仿宋_GB2312"/>
          <w:sz w:val="28"/>
          <w:szCs w:val="28"/>
        </w:rPr>
        <w:t>。</w:t>
      </w:r>
      <w:r>
        <w:rPr>
          <w:rFonts w:ascii="仿宋_GB2312" w:hAnsi="宋体" w:eastAsia="仿宋_GB2312"/>
          <w:sz w:val="28"/>
          <w:szCs w:val="28"/>
        </w:rPr>
        <w:t>2018年中国农业部食物与营养发展研究所的任广旭等人</w:t>
      </w:r>
      <w:r>
        <w:rPr>
          <w:rFonts w:hint="eastAsia" w:ascii="仿宋_GB2312" w:hAnsi="宋体" w:eastAsia="仿宋_GB2312"/>
          <w:sz w:val="28"/>
          <w:szCs w:val="28"/>
        </w:rPr>
        <w:t>关于</w:t>
      </w:r>
      <w:r>
        <w:rPr>
          <w:rFonts w:ascii="仿宋_GB2312" w:hAnsi="宋体" w:eastAsia="仿宋_GB2312"/>
          <w:sz w:val="28"/>
          <w:szCs w:val="28"/>
        </w:rPr>
        <w:t>不同形态硒的功效研究研究</w:t>
      </w:r>
      <w:r>
        <w:rPr>
          <w:rFonts w:hint="eastAsia" w:ascii="仿宋_GB2312" w:hAnsi="宋体" w:eastAsia="仿宋_GB2312"/>
          <w:sz w:val="28"/>
          <w:szCs w:val="28"/>
        </w:rPr>
        <w:t>中</w:t>
      </w:r>
      <w:r>
        <w:rPr>
          <w:rFonts w:ascii="仿宋_GB2312" w:hAnsi="宋体" w:eastAsia="仿宋_GB2312"/>
          <w:sz w:val="28"/>
          <w:szCs w:val="28"/>
        </w:rPr>
        <w:t>表明：</w:t>
      </w:r>
      <w:r>
        <w:rPr>
          <w:rFonts w:hint="eastAsia" w:ascii="仿宋_GB2312" w:hAnsi="宋体" w:eastAsia="仿宋_GB2312"/>
          <w:sz w:val="28"/>
          <w:szCs w:val="28"/>
        </w:rPr>
        <w:t>“</w:t>
      </w:r>
      <w:r>
        <w:rPr>
          <w:rFonts w:ascii="仿宋_GB2312" w:hAnsi="宋体" w:eastAsia="仿宋_GB2312"/>
          <w:sz w:val="28"/>
          <w:szCs w:val="28"/>
        </w:rPr>
        <w:t>有机硒比无机硒在更少的摄入量情况下有着更好的吸收率</w:t>
      </w:r>
      <w:r>
        <w:rPr>
          <w:rFonts w:hint="eastAsia" w:ascii="仿宋_GB2312" w:hAnsi="宋体" w:eastAsia="仿宋_GB2312"/>
          <w:sz w:val="28"/>
          <w:szCs w:val="28"/>
        </w:rPr>
        <w:t>，</w:t>
      </w:r>
      <w:r>
        <w:rPr>
          <w:rFonts w:ascii="仿宋_GB2312" w:hAnsi="宋体" w:eastAsia="仿宋_GB2312"/>
          <w:sz w:val="28"/>
          <w:szCs w:val="28"/>
        </w:rPr>
        <w:t>人体中血液每毫升血硒上升浓度是无机硒的20 倍</w:t>
      </w:r>
      <w:r>
        <w:rPr>
          <w:rFonts w:hint="eastAsia" w:ascii="仿宋_GB2312" w:hAnsi="宋体" w:eastAsia="仿宋_GB2312"/>
          <w:sz w:val="28"/>
          <w:szCs w:val="28"/>
        </w:rPr>
        <w:t>，</w:t>
      </w:r>
      <w:r>
        <w:rPr>
          <w:rFonts w:ascii="仿宋_GB2312" w:hAnsi="宋体" w:eastAsia="仿宋_GB2312"/>
          <w:sz w:val="28"/>
          <w:szCs w:val="28"/>
        </w:rPr>
        <w:t>临床试验中在长期每日摄入5000</w:t>
      </w:r>
      <w:r>
        <w:rPr>
          <w:rFonts w:hint="eastAsia" w:ascii="仿宋_GB2312" w:hAnsi="宋体" w:eastAsia="仿宋_GB2312"/>
          <w:sz w:val="28"/>
          <w:szCs w:val="28"/>
        </w:rPr>
        <w:t>-</w:t>
      </w:r>
      <w:r>
        <w:rPr>
          <w:rFonts w:ascii="仿宋_GB2312" w:hAnsi="宋体" w:eastAsia="仿宋_GB2312"/>
          <w:sz w:val="28"/>
          <w:szCs w:val="28"/>
        </w:rPr>
        <w:t>10000 μg的情况下对人体无害, 但无机硒摄入过量就会引起中毒现象</w:t>
      </w:r>
      <w:r>
        <w:rPr>
          <w:rFonts w:hint="eastAsia" w:ascii="仿宋_GB2312" w:hAnsi="宋体" w:eastAsia="仿宋_GB2312"/>
          <w:sz w:val="28"/>
          <w:szCs w:val="28"/>
        </w:rPr>
        <w:t>”</w:t>
      </w:r>
      <w:r>
        <w:rPr>
          <w:rFonts w:hint="eastAsia" w:ascii="仿宋_GB2312" w:hAnsi="宋体" w:eastAsia="仿宋_GB2312"/>
          <w:sz w:val="28"/>
          <w:szCs w:val="28"/>
          <w:vertAlign w:val="superscript"/>
        </w:rPr>
        <w:t>[9]</w:t>
      </w:r>
      <w:r>
        <w:rPr>
          <w:rFonts w:hint="eastAsia" w:ascii="仿宋_GB2312" w:hAnsi="宋体" w:eastAsia="仿宋_GB2312"/>
          <w:sz w:val="28"/>
          <w:szCs w:val="28"/>
        </w:rPr>
        <w:t>。</w:t>
      </w:r>
      <w:r>
        <w:rPr>
          <w:rFonts w:ascii="仿宋_GB2312" w:hAnsi="宋体" w:eastAsia="仿宋_GB2312"/>
          <w:sz w:val="28"/>
          <w:szCs w:val="28"/>
        </w:rPr>
        <w:t>Wang</w:t>
      </w:r>
      <w:r>
        <w:rPr>
          <w:rFonts w:hint="eastAsia" w:ascii="仿宋_GB2312" w:hAnsi="宋体" w:eastAsia="仿宋_GB2312"/>
          <w:sz w:val="28"/>
          <w:szCs w:val="28"/>
        </w:rPr>
        <w:t>等人对亚硒酸钠和有机硒（酵母硒）的安全性评价和比较的研究表明，高剂量的亚硒酸钠表现出遗传毒性，对大鼠的生长发育有一定的抑制作用，而有机硒未见遗传毒性且对大鼠的生长发育无明显不良影响</w:t>
      </w:r>
      <w:r>
        <w:rPr>
          <w:rFonts w:hint="eastAsia" w:ascii="仿宋_GB2312" w:hAnsi="宋体" w:eastAsia="仿宋_GB2312"/>
          <w:sz w:val="28"/>
          <w:szCs w:val="28"/>
          <w:vertAlign w:val="superscript"/>
        </w:rPr>
        <w:t>[10]</w:t>
      </w:r>
      <w:r>
        <w:rPr>
          <w:rFonts w:hint="eastAsia" w:ascii="仿宋_GB2312" w:hAnsi="宋体" w:eastAsia="仿宋_GB2312"/>
          <w:sz w:val="28"/>
          <w:szCs w:val="28"/>
        </w:rPr>
        <w:t>。</w:t>
      </w:r>
      <w:r>
        <w:rPr>
          <w:rFonts w:ascii="仿宋_GB2312" w:hAnsi="宋体" w:eastAsia="仿宋_GB2312"/>
          <w:sz w:val="28"/>
          <w:szCs w:val="28"/>
        </w:rPr>
        <w:t>2004年硒与健康相关研究专家Margaret Rayman发表论文</w:t>
      </w:r>
      <w:r>
        <w:rPr>
          <w:rFonts w:hint="eastAsia" w:ascii="仿宋_GB2312" w:hAnsi="宋体" w:eastAsia="仿宋_GB2312"/>
          <w:sz w:val="28"/>
          <w:szCs w:val="28"/>
        </w:rPr>
        <w:t>中探讨了</w:t>
      </w:r>
      <w:r>
        <w:rPr>
          <w:rFonts w:ascii="仿宋_GB2312" w:hAnsi="宋体" w:eastAsia="仿宋_GB2312"/>
          <w:sz w:val="28"/>
          <w:szCs w:val="28"/>
        </w:rPr>
        <w:t>有机的酵母硒和亚硒酸钠的安全性对比，认为有机硒安全性比无机硒高3倍左右</w:t>
      </w:r>
      <w:r>
        <w:rPr>
          <w:rFonts w:hint="eastAsia" w:ascii="仿宋_GB2312" w:hAnsi="宋体" w:eastAsia="仿宋_GB2312"/>
          <w:sz w:val="28"/>
          <w:szCs w:val="28"/>
          <w:vertAlign w:val="superscript"/>
        </w:rPr>
        <w:t>[11]</w:t>
      </w:r>
      <w:r>
        <w:rPr>
          <w:rFonts w:hint="eastAsia" w:ascii="仿宋_GB2312" w:hAnsi="宋体" w:eastAsia="仿宋_GB2312"/>
          <w:sz w:val="28"/>
          <w:szCs w:val="28"/>
        </w:rPr>
        <w:t>。</w:t>
      </w:r>
    </w:p>
    <w:p>
      <w:pPr>
        <w:ind w:firstLine="560" w:firstLineChars="200"/>
        <w:rPr>
          <w:rFonts w:ascii="仿宋_GB2312" w:hAnsi="宋体" w:eastAsia="仿宋_GB2312"/>
          <w:sz w:val="28"/>
          <w:szCs w:val="28"/>
        </w:rPr>
      </w:pPr>
      <w:r>
        <w:rPr>
          <w:rFonts w:hint="eastAsia" w:ascii="仿宋_GB2312" w:hAnsi="宋体" w:eastAsia="仿宋_GB2312"/>
          <w:sz w:val="28"/>
          <w:szCs w:val="28"/>
        </w:rPr>
        <w:t>不同形态的硒的安全性评价还不够完善，有待进一步研究。但根据现有证据，有机硒的安全性高于无机硒。本标准在总硒含量要求的基础上要求有机硒占比≥80%，进一步保证了安全性。</w:t>
      </w:r>
    </w:p>
    <w:p>
      <w:pPr>
        <w:pStyle w:val="3"/>
      </w:pPr>
      <w:r>
        <w:rPr>
          <w:rFonts w:hint="eastAsia"/>
        </w:rPr>
        <w:t>4.4</w:t>
      </w:r>
      <w:r>
        <w:t xml:space="preserve"> </w:t>
      </w:r>
      <w:r>
        <w:rPr>
          <w:rFonts w:hint="eastAsia"/>
        </w:rPr>
        <w:t>检验方法</w:t>
      </w:r>
    </w:p>
    <w:p>
      <w:pPr>
        <w:ind w:firstLine="560" w:firstLineChars="200"/>
        <w:rPr>
          <w:rFonts w:ascii="仿宋_GB2312" w:hAnsi="宋体" w:eastAsia="仿宋_GB2312"/>
          <w:sz w:val="28"/>
          <w:szCs w:val="28"/>
        </w:rPr>
      </w:pPr>
      <w:r>
        <w:rPr>
          <w:rFonts w:hint="eastAsia" w:ascii="仿宋_GB2312" w:hAnsi="宋体" w:eastAsia="仿宋_GB2312"/>
          <w:sz w:val="28"/>
          <w:szCs w:val="28"/>
        </w:rPr>
        <w:t>原标准中无机硒的测定方法按附录A的规定测定，附录A的检测方法是采用环己烷先提取分离有机硒和无机硒，再用测总硒的方法测定无机硒，此方法前处理过程繁杂，并且前处理过程中提取、分离不完全会影响检测结果的准确性，对于易溶于水的有机硒成分易判定为溶于水的无机硒。近年来，随着HPLC-HG-AFS及HPLC-ICP-MS联用技术的发展，无机硒中Se(IV)和Se(VI)测定的仪器方法灵敏度高，适用性强，能克服采用总硒测定无机硒方法的不足，因此，此次修订把无机硒含量的检测方法变更为《食品安全地方标准 富硒食品中无机硒的测定方法》（D</w:t>
      </w:r>
      <w:r>
        <w:rPr>
          <w:rFonts w:ascii="仿宋_GB2312" w:hAnsi="宋体" w:eastAsia="仿宋_GB2312"/>
          <w:sz w:val="28"/>
          <w:szCs w:val="28"/>
        </w:rPr>
        <w:t>BS42/ 010-2018</w:t>
      </w:r>
      <w:r>
        <w:rPr>
          <w:rFonts w:hint="eastAsia" w:ascii="仿宋_GB2312" w:hAnsi="宋体" w:eastAsia="仿宋_GB2312"/>
          <w:sz w:val="28"/>
          <w:szCs w:val="28"/>
        </w:rPr>
        <w:t>），有机硒沿用差减法，即总硒含量减去无机硒含量等于有机硒含量。</w:t>
      </w:r>
    </w:p>
    <w:p>
      <w:pPr>
        <w:pStyle w:val="3"/>
      </w:pPr>
      <w:r>
        <w:rPr>
          <w:rFonts w:hint="eastAsia"/>
        </w:rPr>
        <w:t>4.5 标注要求</w:t>
      </w:r>
    </w:p>
    <w:p>
      <w:pPr>
        <w:ind w:firstLine="560" w:firstLineChars="200"/>
        <w:rPr>
          <w:rFonts w:ascii="仿宋_GB2312" w:hAnsi="宋体" w:eastAsia="仿宋_GB2312"/>
          <w:sz w:val="28"/>
          <w:szCs w:val="28"/>
        </w:rPr>
      </w:pPr>
      <w:r>
        <w:rPr>
          <w:rFonts w:hint="eastAsia" w:ascii="仿宋_GB2312" w:hAnsi="宋体" w:eastAsia="仿宋_GB2312"/>
          <w:sz w:val="28"/>
          <w:szCs w:val="28"/>
        </w:rPr>
        <w:t>标签、标识应符合</w:t>
      </w:r>
      <w:r>
        <w:rPr>
          <w:rFonts w:ascii="仿宋_GB2312" w:hAnsi="宋体" w:eastAsia="仿宋_GB2312"/>
          <w:sz w:val="28"/>
          <w:szCs w:val="28"/>
        </w:rPr>
        <w:t>GB 7718、GB 13432、GB 28050</w:t>
      </w:r>
      <w:r>
        <w:rPr>
          <w:rFonts w:hint="eastAsia" w:ascii="仿宋_GB2312" w:hAnsi="宋体" w:eastAsia="仿宋_GB2312"/>
          <w:sz w:val="28"/>
          <w:szCs w:val="28"/>
        </w:rPr>
        <w:t>的规定。</w:t>
      </w:r>
    </w:p>
    <w:p>
      <w:pPr>
        <w:ind w:firstLine="560" w:firstLineChars="200"/>
        <w:rPr>
          <w:rFonts w:ascii="仿宋_GB2312" w:hAnsi="宋体" w:eastAsia="仿宋_GB2312"/>
          <w:sz w:val="28"/>
          <w:szCs w:val="28"/>
        </w:rPr>
      </w:pPr>
      <w:r>
        <w:rPr>
          <w:rFonts w:hint="eastAsia" w:ascii="仿宋_GB2312" w:hAnsi="宋体" w:eastAsia="仿宋_GB2312"/>
          <w:sz w:val="28"/>
          <w:szCs w:val="28"/>
        </w:rPr>
        <w:t>标签、标识中声称“富有机硒食品”，应符合本标准的规定，须同时标注总硒含量及有机硒占比，食用量应符合WS/T 578.3的要求。</w:t>
      </w:r>
    </w:p>
    <w:p>
      <w:pPr>
        <w:pStyle w:val="2"/>
        <w:rPr>
          <w:sz w:val="32"/>
          <w:szCs w:val="32"/>
        </w:rPr>
      </w:pPr>
      <w:r>
        <w:rPr>
          <w:rFonts w:hint="eastAsia"/>
          <w:sz w:val="32"/>
          <w:szCs w:val="32"/>
        </w:rPr>
        <w:t>五、征求意见的采纳情况</w:t>
      </w:r>
    </w:p>
    <w:p>
      <w:pPr>
        <w:ind w:firstLine="560" w:firstLineChars="200"/>
        <w:rPr>
          <w:rFonts w:ascii="仿宋_GB2312" w:hAnsi="宋体" w:eastAsia="仿宋_GB2312"/>
          <w:sz w:val="28"/>
          <w:szCs w:val="28"/>
        </w:rPr>
      </w:pPr>
      <w:r>
        <w:rPr>
          <w:rFonts w:hint="eastAsia" w:ascii="仿宋_GB2312" w:hAnsi="宋体" w:eastAsia="仿宋_GB2312"/>
          <w:sz w:val="28"/>
          <w:szCs w:val="28"/>
        </w:rPr>
        <w:t>标准征求意见稿完成后，发至相关监管部门、科研院所、大专院校、企业等13个单位的专家征求意见，共收集意见13条，标准修订起草小组将征求到的意见汇总后，逐条研究分析（见征求意见汇总处理表），并根据专家建议对照修改。后修订稿又经过一次专家论证，根据专家意见修改落实后，形成修订送审稿。标准送审稿提交省标委会审议，按照审议意见进行进一步修改完善。</w:t>
      </w:r>
    </w:p>
    <w:p>
      <w:pPr>
        <w:jc w:val="center"/>
        <w:rPr>
          <w:rFonts w:ascii="方正小标宋简体" w:eastAsia="方正小标宋简体"/>
          <w:sz w:val="36"/>
          <w:szCs w:val="36"/>
        </w:rPr>
      </w:pPr>
    </w:p>
    <w:p>
      <w:pPr>
        <w:jc w:val="left"/>
        <w:rPr>
          <w:rFonts w:ascii="方正小标宋简体" w:eastAsia="方正小标宋简体"/>
          <w:sz w:val="32"/>
          <w:szCs w:val="32"/>
        </w:rPr>
      </w:pPr>
      <w:r>
        <w:rPr>
          <w:rFonts w:hint="eastAsia" w:ascii="方正小标宋简体" w:eastAsia="方正小标宋简体"/>
          <w:sz w:val="32"/>
          <w:szCs w:val="32"/>
        </w:rPr>
        <w:t>参考文献</w:t>
      </w:r>
    </w:p>
    <w:p/>
    <w:p>
      <w:pPr>
        <w:pStyle w:val="18"/>
        <w:numPr>
          <w:ilvl w:val="0"/>
          <w:numId w:val="2"/>
        </w:numPr>
        <w:spacing w:afterLines="50" w:line="480" w:lineRule="exact"/>
        <w:ind w:firstLineChars="0"/>
        <w:rPr>
          <w:rFonts w:ascii="仿宋" w:hAnsi="仿宋" w:eastAsia="仿宋"/>
          <w:sz w:val="28"/>
          <w:szCs w:val="28"/>
          <w:shd w:val="clear" w:color="auto" w:fill="FFFFFF"/>
        </w:rPr>
      </w:pPr>
      <w:r>
        <w:rPr>
          <w:rFonts w:ascii="仿宋" w:hAnsi="仿宋" w:eastAsia="仿宋"/>
          <w:sz w:val="28"/>
          <w:szCs w:val="28"/>
          <w:shd w:val="clear" w:color="auto" w:fill="FFFFFF"/>
        </w:rPr>
        <w:t>胡振瀛.硒强化对糙米营养组分的影响及其含硒蛋白磷酸化改性应用[D].南昌大学,2019.</w:t>
      </w:r>
    </w:p>
    <w:p>
      <w:pPr>
        <w:pStyle w:val="18"/>
        <w:numPr>
          <w:ilvl w:val="0"/>
          <w:numId w:val="2"/>
        </w:numPr>
        <w:spacing w:afterLines="50" w:line="480" w:lineRule="exact"/>
        <w:ind w:firstLineChars="0"/>
        <w:rPr>
          <w:rFonts w:ascii="仿宋" w:hAnsi="仿宋" w:eastAsia="仿宋"/>
          <w:sz w:val="28"/>
          <w:szCs w:val="28"/>
          <w:shd w:val="clear" w:color="auto" w:fill="FFFFFF"/>
        </w:rPr>
      </w:pPr>
      <w:r>
        <w:rPr>
          <w:rFonts w:ascii="仿宋" w:hAnsi="仿宋" w:eastAsia="仿宋"/>
          <w:sz w:val="28"/>
          <w:szCs w:val="28"/>
          <w:shd w:val="clear" w:color="auto" w:fill="FFFFFF"/>
        </w:rPr>
        <w:t>何巧,曹赵云,张涵彤,</w:t>
      </w:r>
      <w:r>
        <w:rPr>
          <w:rFonts w:hint="eastAsia" w:ascii="仿宋" w:hAnsi="仿宋" w:eastAsia="仿宋"/>
          <w:sz w:val="28"/>
          <w:szCs w:val="28"/>
          <w:shd w:val="clear" w:color="auto" w:fill="FFFFFF"/>
        </w:rPr>
        <w:t>等</w:t>
      </w:r>
      <w:r>
        <w:rPr>
          <w:rFonts w:ascii="仿宋" w:hAnsi="仿宋" w:eastAsia="仿宋"/>
          <w:sz w:val="28"/>
          <w:szCs w:val="28"/>
          <w:shd w:val="clear" w:color="auto" w:fill="FFFFFF"/>
        </w:rPr>
        <w:t>.我国部分市售富硒大米中硒含量与膳食暴露评估[J].农产品质量与安全,2019(03):14-19.</w:t>
      </w:r>
    </w:p>
    <w:p>
      <w:pPr>
        <w:pStyle w:val="18"/>
        <w:numPr>
          <w:ilvl w:val="0"/>
          <w:numId w:val="2"/>
        </w:numPr>
        <w:spacing w:afterLines="50" w:line="480" w:lineRule="exact"/>
        <w:ind w:firstLineChars="0"/>
        <w:rPr>
          <w:rFonts w:ascii="仿宋" w:hAnsi="仿宋" w:eastAsia="仿宋"/>
          <w:sz w:val="28"/>
          <w:szCs w:val="28"/>
          <w:shd w:val="clear" w:color="auto" w:fill="FFFFFF"/>
        </w:rPr>
      </w:pPr>
      <w:r>
        <w:rPr>
          <w:rFonts w:hint="eastAsia" w:ascii="仿宋" w:hAnsi="仿宋" w:eastAsia="仿宋"/>
          <w:sz w:val="28"/>
          <w:szCs w:val="28"/>
          <w:shd w:val="clear" w:color="auto" w:fill="FFFFFF"/>
        </w:rPr>
        <w:t>中国营养学会.中国居民膳食营养素参考摄入量（201</w:t>
      </w:r>
      <w:r>
        <w:rPr>
          <w:rFonts w:ascii="仿宋" w:hAnsi="仿宋" w:eastAsia="仿宋"/>
          <w:sz w:val="28"/>
          <w:szCs w:val="28"/>
          <w:shd w:val="clear" w:color="auto" w:fill="FFFFFF"/>
        </w:rPr>
        <w:t>3</w:t>
      </w:r>
      <w:r>
        <w:rPr>
          <w:rFonts w:hint="eastAsia" w:ascii="仿宋" w:hAnsi="仿宋" w:eastAsia="仿宋"/>
          <w:sz w:val="28"/>
          <w:szCs w:val="28"/>
          <w:shd w:val="clear" w:color="auto" w:fill="FFFFFF"/>
        </w:rPr>
        <w:t>版） ［M］.北京：科学出版社，2013：18－19.</w:t>
      </w:r>
    </w:p>
    <w:p>
      <w:pPr>
        <w:pStyle w:val="18"/>
        <w:numPr>
          <w:ilvl w:val="0"/>
          <w:numId w:val="2"/>
        </w:numPr>
        <w:spacing w:afterLines="50" w:line="480" w:lineRule="exact"/>
        <w:ind w:firstLineChars="0"/>
        <w:rPr>
          <w:rFonts w:ascii="仿宋" w:hAnsi="仿宋" w:eastAsia="仿宋"/>
          <w:sz w:val="28"/>
          <w:szCs w:val="28"/>
          <w:shd w:val="clear" w:color="auto" w:fill="FFFFFF"/>
        </w:rPr>
      </w:pPr>
      <w:r>
        <w:rPr>
          <w:rFonts w:hint="eastAsia" w:ascii="仿宋" w:hAnsi="仿宋" w:eastAsia="仿宋"/>
          <w:sz w:val="28"/>
          <w:szCs w:val="28"/>
          <w:shd w:val="clear" w:color="auto" w:fill="FFFFFF"/>
        </w:rPr>
        <w:t>张奇志.硒与人体健康及富硒食品的开发建议[J].广东农工商职业技术学院学报, 2009, 25(4):79-82.</w:t>
      </w:r>
    </w:p>
    <w:p>
      <w:pPr>
        <w:pStyle w:val="18"/>
        <w:numPr>
          <w:ilvl w:val="0"/>
          <w:numId w:val="2"/>
        </w:numPr>
        <w:spacing w:afterLines="50" w:line="480" w:lineRule="exact"/>
        <w:ind w:firstLineChars="0"/>
        <w:rPr>
          <w:rFonts w:ascii="仿宋" w:hAnsi="仿宋" w:eastAsia="仿宋"/>
          <w:sz w:val="28"/>
          <w:szCs w:val="28"/>
          <w:shd w:val="clear" w:color="auto" w:fill="FFFFFF"/>
        </w:rPr>
      </w:pPr>
      <w:r>
        <w:rPr>
          <w:rFonts w:hint="eastAsia" w:ascii="仿宋" w:hAnsi="仿宋" w:eastAsia="仿宋"/>
          <w:sz w:val="28"/>
          <w:szCs w:val="28"/>
          <w:shd w:val="clear" w:color="auto" w:fill="FFFFFF"/>
        </w:rPr>
        <w:t>刘培杏.微量元素硒的生理学功效及富硒功能性食品简介[J]. 轻工科技, 2010, 26(3):3-4.</w:t>
      </w:r>
    </w:p>
    <w:p>
      <w:pPr>
        <w:pStyle w:val="18"/>
        <w:numPr>
          <w:ilvl w:val="0"/>
          <w:numId w:val="2"/>
        </w:numPr>
        <w:spacing w:afterLines="50" w:line="480" w:lineRule="exact"/>
        <w:ind w:firstLineChars="0"/>
        <w:rPr>
          <w:rFonts w:ascii="仿宋" w:hAnsi="仿宋" w:eastAsia="仿宋"/>
          <w:sz w:val="28"/>
          <w:szCs w:val="28"/>
          <w:shd w:val="clear" w:color="auto" w:fill="FFFFFF"/>
        </w:rPr>
      </w:pPr>
      <w:r>
        <w:rPr>
          <w:rFonts w:ascii="仿宋" w:hAnsi="仿宋" w:eastAsia="仿宋"/>
          <w:sz w:val="28"/>
          <w:szCs w:val="28"/>
          <w:shd w:val="clear" w:color="auto" w:fill="FFFFFF"/>
        </w:rPr>
        <w:t>鲁亚普,王张民,袁林喜,</w:t>
      </w:r>
      <w:r>
        <w:rPr>
          <w:rFonts w:hint="eastAsia" w:ascii="仿宋" w:hAnsi="仿宋" w:eastAsia="仿宋"/>
          <w:sz w:val="28"/>
          <w:szCs w:val="28"/>
          <w:shd w:val="clear" w:color="auto" w:fill="FFFFFF"/>
        </w:rPr>
        <w:t>等</w:t>
      </w:r>
      <w:r>
        <w:rPr>
          <w:rFonts w:ascii="仿宋" w:hAnsi="仿宋" w:eastAsia="仿宋"/>
          <w:sz w:val="28"/>
          <w:szCs w:val="28"/>
          <w:shd w:val="clear" w:color="auto" w:fill="FFFFFF"/>
        </w:rPr>
        <w:t>.硒碘联合生物营养强化规律及硒碘交互作用初步研究[J].土壤,2018,050(006):1208-1213.</w:t>
      </w:r>
    </w:p>
    <w:p>
      <w:pPr>
        <w:pStyle w:val="18"/>
        <w:numPr>
          <w:ilvl w:val="0"/>
          <w:numId w:val="2"/>
        </w:numPr>
        <w:spacing w:afterLines="50" w:line="480" w:lineRule="exact"/>
        <w:ind w:firstLineChars="0"/>
        <w:jc w:val="left"/>
        <w:rPr>
          <w:rFonts w:ascii="仿宋" w:hAnsi="仿宋" w:eastAsia="仿宋"/>
          <w:sz w:val="28"/>
          <w:szCs w:val="28"/>
          <w:shd w:val="clear" w:color="auto" w:fill="FFFFFF"/>
        </w:rPr>
      </w:pPr>
      <w:r>
        <w:rPr>
          <w:rFonts w:ascii="仿宋" w:hAnsi="仿宋" w:eastAsia="仿宋"/>
          <w:sz w:val="28"/>
          <w:szCs w:val="28"/>
          <w:shd w:val="clear" w:color="auto" w:fill="FFFFFF"/>
        </w:rPr>
        <w:t>Rohn I , Marschall T A , Kroepfl N , et al. Selenium species-dependent</w:t>
      </w:r>
      <w:r>
        <w:rPr>
          <w:rFonts w:hint="eastAsia" w:ascii="仿宋" w:hAnsi="仿宋" w:eastAsia="仿宋"/>
          <w:sz w:val="28"/>
          <w:szCs w:val="28"/>
          <w:shd w:val="clear" w:color="auto" w:fill="FFFFFF"/>
        </w:rPr>
        <w:t xml:space="preserve"> </w:t>
      </w:r>
      <w:r>
        <w:rPr>
          <w:rFonts w:ascii="仿宋" w:hAnsi="仿宋" w:eastAsia="仿宋"/>
          <w:sz w:val="28"/>
          <w:szCs w:val="28"/>
          <w:shd w:val="clear" w:color="auto" w:fill="FFFFFF"/>
        </w:rPr>
        <w:t>toxicity,bioavailability and metabolic transformations in Caenorhabditis elegans[J].</w:t>
      </w:r>
      <w:r>
        <w:rPr>
          <w:rFonts w:hint="eastAsia" w:ascii="仿宋" w:hAnsi="仿宋" w:eastAsia="仿宋"/>
          <w:sz w:val="28"/>
          <w:szCs w:val="28"/>
          <w:shd w:val="clear" w:color="auto" w:fill="FFFFFF"/>
        </w:rPr>
        <w:t xml:space="preserve"> </w:t>
      </w:r>
      <w:r>
        <w:rPr>
          <w:rFonts w:ascii="仿宋" w:hAnsi="仿宋" w:eastAsia="仿宋"/>
          <w:sz w:val="28"/>
          <w:szCs w:val="28"/>
          <w:shd w:val="clear" w:color="auto" w:fill="FFFFFF"/>
        </w:rPr>
        <w:t>Metallomics, 2018:10.1039.C8MT00066B.</w:t>
      </w:r>
    </w:p>
    <w:p>
      <w:pPr>
        <w:pStyle w:val="18"/>
        <w:numPr>
          <w:ilvl w:val="0"/>
          <w:numId w:val="2"/>
        </w:numPr>
        <w:spacing w:afterLines="50" w:line="480" w:lineRule="exact"/>
        <w:ind w:firstLineChars="0"/>
        <w:rPr>
          <w:rFonts w:ascii="仿宋" w:hAnsi="仿宋" w:eastAsia="仿宋"/>
          <w:sz w:val="28"/>
          <w:szCs w:val="28"/>
          <w:shd w:val="clear" w:color="auto" w:fill="FFFFFF"/>
        </w:rPr>
      </w:pPr>
      <w:r>
        <w:rPr>
          <w:rFonts w:hint="eastAsia" w:ascii="仿宋" w:hAnsi="仿宋" w:eastAsia="仿宋"/>
          <w:sz w:val="28"/>
          <w:szCs w:val="28"/>
          <w:shd w:val="clear" w:color="auto" w:fill="FFFFFF"/>
        </w:rPr>
        <w:t>Berntssen M H G , Sundal T K , Olsvik P A , et al. Sensitivity and toxic mode of action of dietary organic and inorganic selenium in Atlantic salmon (Salmo salar). Aquatic Toxicology, 2017:116-126.</w:t>
      </w:r>
    </w:p>
    <w:p>
      <w:pPr>
        <w:pStyle w:val="18"/>
        <w:numPr>
          <w:ilvl w:val="0"/>
          <w:numId w:val="2"/>
        </w:numPr>
        <w:spacing w:afterLines="50" w:line="480" w:lineRule="exact"/>
        <w:ind w:firstLineChars="0"/>
        <w:rPr>
          <w:rFonts w:ascii="仿宋" w:hAnsi="仿宋" w:eastAsia="仿宋"/>
          <w:sz w:val="28"/>
          <w:szCs w:val="28"/>
          <w:shd w:val="clear" w:color="auto" w:fill="FFFFFF"/>
        </w:rPr>
      </w:pPr>
      <w:r>
        <w:rPr>
          <w:rFonts w:ascii="仿宋" w:hAnsi="仿宋" w:eastAsia="仿宋"/>
          <w:sz w:val="28"/>
          <w:szCs w:val="28"/>
          <w:shd w:val="clear" w:color="auto" w:fill="FFFFFF"/>
        </w:rPr>
        <w:t>任广旭</w:t>
      </w:r>
      <w:r>
        <w:rPr>
          <w:rFonts w:hint="eastAsia" w:ascii="仿宋" w:hAnsi="仿宋" w:eastAsia="仿宋"/>
          <w:sz w:val="28"/>
          <w:szCs w:val="28"/>
          <w:shd w:val="clear" w:color="auto" w:fill="FFFFFF"/>
        </w:rPr>
        <w:t>；</w:t>
      </w:r>
      <w:r>
        <w:rPr>
          <w:rFonts w:ascii="仿宋" w:hAnsi="仿宋" w:eastAsia="仿宋"/>
          <w:sz w:val="28"/>
          <w:szCs w:val="28"/>
          <w:shd w:val="clear" w:color="auto" w:fill="FFFFFF"/>
        </w:rPr>
        <w:t>王立平</w:t>
      </w:r>
      <w:r>
        <w:rPr>
          <w:rFonts w:hint="eastAsia" w:ascii="仿宋" w:hAnsi="仿宋" w:eastAsia="仿宋"/>
          <w:sz w:val="28"/>
          <w:szCs w:val="28"/>
          <w:shd w:val="clear" w:color="auto" w:fill="FFFFFF"/>
        </w:rPr>
        <w:t>；</w:t>
      </w:r>
      <w:r>
        <w:rPr>
          <w:rFonts w:ascii="仿宋" w:hAnsi="仿宋" w:eastAsia="仿宋"/>
          <w:sz w:val="28"/>
          <w:szCs w:val="28"/>
          <w:shd w:val="clear" w:color="auto" w:fill="FFFFFF"/>
        </w:rPr>
        <w:t>王泽</w:t>
      </w:r>
      <w:r>
        <w:rPr>
          <w:rFonts w:hint="eastAsia" w:ascii="仿宋" w:hAnsi="仿宋" w:eastAsia="仿宋"/>
          <w:sz w:val="28"/>
          <w:szCs w:val="28"/>
          <w:shd w:val="clear" w:color="auto" w:fill="FFFFFF"/>
        </w:rPr>
        <w:t>.</w:t>
      </w:r>
      <w:r>
        <w:rPr>
          <w:rFonts w:ascii="仿宋" w:hAnsi="仿宋" w:eastAsia="仿宋"/>
          <w:sz w:val="28"/>
          <w:szCs w:val="28"/>
          <w:shd w:val="clear" w:color="auto" w:fill="FFFFFF"/>
        </w:rPr>
        <w:t xml:space="preserve"> 不同形态硒的功效研究进展</w:t>
      </w:r>
      <w:r>
        <w:rPr>
          <w:rFonts w:hint="eastAsia" w:ascii="仿宋" w:hAnsi="仿宋" w:eastAsia="仿宋"/>
          <w:sz w:val="28"/>
          <w:szCs w:val="28"/>
          <w:shd w:val="clear" w:color="auto" w:fill="FFFFFF"/>
        </w:rPr>
        <w:t>[</w:t>
      </w:r>
      <w:r>
        <w:rPr>
          <w:rFonts w:ascii="仿宋" w:hAnsi="仿宋" w:eastAsia="仿宋"/>
          <w:sz w:val="28"/>
          <w:szCs w:val="28"/>
          <w:shd w:val="clear" w:color="auto" w:fill="FFFFFF"/>
        </w:rPr>
        <w:t>J]</w:t>
      </w:r>
      <w:r>
        <w:rPr>
          <w:rFonts w:hint="eastAsia" w:ascii="仿宋" w:hAnsi="仿宋" w:eastAsia="仿宋"/>
          <w:sz w:val="28"/>
          <w:szCs w:val="28"/>
          <w:shd w:val="clear" w:color="auto" w:fill="FFFFFF"/>
        </w:rPr>
        <w:t>.</w:t>
      </w:r>
      <w:r>
        <w:rPr>
          <w:rFonts w:ascii="仿宋" w:hAnsi="仿宋" w:eastAsia="仿宋"/>
          <w:sz w:val="28"/>
          <w:szCs w:val="28"/>
          <w:shd w:val="clear" w:color="auto" w:fill="FFFFFF"/>
        </w:rPr>
        <w:t xml:space="preserve"> 食品安全质量检测学报. 2018(22): 6039-6043</w:t>
      </w:r>
      <w:r>
        <w:rPr>
          <w:rFonts w:hint="eastAsia" w:ascii="仿宋" w:hAnsi="仿宋" w:eastAsia="仿宋"/>
          <w:sz w:val="28"/>
          <w:szCs w:val="28"/>
          <w:shd w:val="clear" w:color="auto" w:fill="FFFFFF"/>
        </w:rPr>
        <w:t>.</w:t>
      </w:r>
    </w:p>
    <w:p>
      <w:pPr>
        <w:pStyle w:val="18"/>
        <w:numPr>
          <w:ilvl w:val="0"/>
          <w:numId w:val="2"/>
        </w:numPr>
        <w:spacing w:afterLines="50" w:line="480" w:lineRule="exact"/>
        <w:ind w:firstLineChars="0"/>
        <w:jc w:val="left"/>
        <w:rPr>
          <w:rFonts w:ascii="仿宋" w:hAnsi="仿宋" w:eastAsia="仿宋"/>
          <w:sz w:val="28"/>
          <w:szCs w:val="28"/>
          <w:shd w:val="clear" w:color="auto" w:fill="FFFFFF"/>
        </w:rPr>
      </w:pPr>
      <w:r>
        <w:rPr>
          <w:rFonts w:hint="eastAsia" w:ascii="仿宋" w:hAnsi="仿宋" w:eastAsia="仿宋"/>
          <w:sz w:val="28"/>
          <w:szCs w:val="28"/>
          <w:shd w:val="clear" w:color="auto" w:fill="FFFFFF"/>
        </w:rPr>
        <w:t>Wang X et al. Safety Assessment and Comparison of Sodium Selenite and Bioselenium Obtained from Yeast in Mice[J]. BioMed Research International,2017,(2017-10-30), 2017, 2017:1-8.</w:t>
      </w:r>
    </w:p>
    <w:p>
      <w:pPr>
        <w:pStyle w:val="18"/>
        <w:numPr>
          <w:ilvl w:val="0"/>
          <w:numId w:val="2"/>
        </w:numPr>
        <w:spacing w:afterLines="50" w:line="480" w:lineRule="exact"/>
        <w:ind w:firstLineChars="0"/>
        <w:rPr>
          <w:rFonts w:ascii="仿宋" w:hAnsi="仿宋" w:eastAsia="仿宋"/>
          <w:sz w:val="28"/>
          <w:szCs w:val="28"/>
          <w:shd w:val="clear" w:color="auto" w:fill="FFFFFF"/>
        </w:rPr>
      </w:pPr>
      <w:r>
        <w:rPr>
          <w:rFonts w:hint="eastAsia" w:ascii="仿宋" w:hAnsi="仿宋" w:eastAsia="仿宋"/>
          <w:sz w:val="28"/>
          <w:szCs w:val="28"/>
          <w:shd w:val="clear" w:color="auto" w:fill="FFFFFF"/>
        </w:rPr>
        <w:t>Rayman MP.The use of high-selenium yeast to raise selenium status: how does it measure up?[J]. British Journal of Nutrition, 2004, 92(4):17.</w:t>
      </w:r>
    </w:p>
    <w:p>
      <w:pPr>
        <w:widowControl/>
        <w:jc w:val="left"/>
        <w:rPr>
          <w:rFonts w:ascii="仿宋_GB2312" w:hAnsi="宋体" w:eastAsia="仿宋_GB2312"/>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方正小标宋简体">
    <w:altName w:val="仿宋_GB2312"/>
    <w:panose1 w:val="02000000000000000000"/>
    <w:charset w:val="86"/>
    <w:family w:val="auto"/>
    <w:pitch w:val="default"/>
    <w:sig w:usb0="00000000" w:usb1="00000000"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altName w:val="微软雅黑"/>
    <w:panose1 w:val="02010600030101010101"/>
    <w:charset w:val="86"/>
    <w:family w:val="swiss"/>
    <w:pitch w:val="default"/>
    <w:sig w:usb0="00000000" w:usb1="00000000" w:usb2="00000000" w:usb3="00000000" w:csb0="00000000" w:csb1="00000000"/>
  </w:font>
  <w:font w:name="Calibri">
    <w:panose1 w:val="020F0502020204030204"/>
    <w:charset w:val="01"/>
    <w:family w:val="auto"/>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C91163"/>
    <w:multiLevelType w:val="multilevel"/>
    <w:tmpl w:val="1FC91163"/>
    <w:lvl w:ilvl="0" w:tentative="0">
      <w:start w:val="1"/>
      <w:numFmt w:val="decimal"/>
      <w:pStyle w:val="32"/>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31"/>
      <w:suff w:val="nothing"/>
      <w:lvlText w:val="%1.%2　"/>
      <w:lvlJc w:val="left"/>
      <w:pPr>
        <w:ind w:left="284" w:firstLine="0"/>
      </w:pPr>
      <w:rPr>
        <w:rFonts w:hint="eastAsia" w:ascii="黑体" w:hAnsi="Times New Roman" w:eastAsia="黑体" w:cs="Times New Roman"/>
        <w:b w:val="0"/>
        <w:bCs w:val="0"/>
        <w:i w:val="0"/>
        <w:iCs w:val="0"/>
        <w:caps w:val="0"/>
        <w:strike w:val="0"/>
        <w:dstrike w:val="0"/>
        <w:outline w:val="0"/>
        <w:shadow w:val="0"/>
        <w:emboss w:val="0"/>
        <w:imprint w:val="0"/>
        <w:vanish w:val="0"/>
        <w:spacing w:val="0"/>
        <w:kern w:val="0"/>
        <w:position w:val="0"/>
        <w:sz w:val="21"/>
        <w:szCs w:val="21"/>
        <w:u w:val="none"/>
        <w:vertAlign w:val="baseline"/>
      </w:rPr>
    </w:lvl>
    <w:lvl w:ilvl="2" w:tentative="0">
      <w:start w:val="1"/>
      <w:numFmt w:val="decimal"/>
      <w:pStyle w:val="33"/>
      <w:suff w:val="nothing"/>
      <w:lvlText w:val="%1.%2.%3　"/>
      <w:lvlJc w:val="left"/>
      <w:pPr>
        <w:ind w:left="0" w:firstLine="0"/>
      </w:pPr>
      <w:rPr>
        <w:rFonts w:hint="eastAsia" w:ascii="黑体" w:hAnsi="Times New Roman" w:eastAsia="黑体"/>
        <w:b w:val="0"/>
        <w:i w:val="0"/>
        <w:sz w:val="21"/>
      </w:rPr>
    </w:lvl>
    <w:lvl w:ilvl="3" w:tentative="0">
      <w:start w:val="1"/>
      <w:numFmt w:val="decimal"/>
      <w:pStyle w:val="34"/>
      <w:suff w:val="nothing"/>
      <w:lvlText w:val="%1.%2.%3.%4　"/>
      <w:lvlJc w:val="left"/>
      <w:pPr>
        <w:ind w:left="0" w:firstLine="0"/>
      </w:pPr>
      <w:rPr>
        <w:rFonts w:hint="eastAsia" w:ascii="黑体" w:hAnsi="Times New Roman" w:eastAsia="黑体"/>
        <w:b w:val="0"/>
        <w:i w:val="0"/>
        <w:sz w:val="21"/>
      </w:rPr>
    </w:lvl>
    <w:lvl w:ilvl="4" w:tentative="0">
      <w:start w:val="1"/>
      <w:numFmt w:val="decimal"/>
      <w:pStyle w:val="35"/>
      <w:suff w:val="nothing"/>
      <w:lvlText w:val="%1.%2.%3.%4.%5　"/>
      <w:lvlJc w:val="left"/>
      <w:pPr>
        <w:ind w:left="0" w:firstLine="0"/>
      </w:pPr>
      <w:rPr>
        <w:rFonts w:hint="eastAsia" w:ascii="黑体" w:hAnsi="Times New Roman" w:eastAsia="黑体"/>
        <w:b w:val="0"/>
        <w:i w:val="0"/>
        <w:sz w:val="21"/>
      </w:rPr>
    </w:lvl>
    <w:lvl w:ilvl="5" w:tentative="0">
      <w:start w:val="1"/>
      <w:numFmt w:val="decimal"/>
      <w:pStyle w:val="36"/>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
    <w:nsid w:val="2F5E5689"/>
    <w:multiLevelType w:val="multilevel"/>
    <w:tmpl w:val="2F5E5689"/>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6D3B"/>
    <w:rsid w:val="00000826"/>
    <w:rsid w:val="00002B75"/>
    <w:rsid w:val="00007C65"/>
    <w:rsid w:val="0001142E"/>
    <w:rsid w:val="000119DF"/>
    <w:rsid w:val="00016A58"/>
    <w:rsid w:val="000229A6"/>
    <w:rsid w:val="00022AB8"/>
    <w:rsid w:val="00022C75"/>
    <w:rsid w:val="00032D95"/>
    <w:rsid w:val="00033E95"/>
    <w:rsid w:val="00041BEB"/>
    <w:rsid w:val="00045045"/>
    <w:rsid w:val="000454B9"/>
    <w:rsid w:val="0004552F"/>
    <w:rsid w:val="000713DC"/>
    <w:rsid w:val="0007202C"/>
    <w:rsid w:val="00072F4D"/>
    <w:rsid w:val="00073B1C"/>
    <w:rsid w:val="00076429"/>
    <w:rsid w:val="00080119"/>
    <w:rsid w:val="00081DE9"/>
    <w:rsid w:val="0009043C"/>
    <w:rsid w:val="0009093A"/>
    <w:rsid w:val="000A1959"/>
    <w:rsid w:val="000A75DA"/>
    <w:rsid w:val="000B3E13"/>
    <w:rsid w:val="000B5A1B"/>
    <w:rsid w:val="000C0AE0"/>
    <w:rsid w:val="000C37A1"/>
    <w:rsid w:val="000C5E6D"/>
    <w:rsid w:val="000C68C6"/>
    <w:rsid w:val="000C7F0B"/>
    <w:rsid w:val="000D2378"/>
    <w:rsid w:val="000D667D"/>
    <w:rsid w:val="000E06F9"/>
    <w:rsid w:val="000E32F7"/>
    <w:rsid w:val="000E4FB3"/>
    <w:rsid w:val="000E52AC"/>
    <w:rsid w:val="000F22D4"/>
    <w:rsid w:val="000F6D22"/>
    <w:rsid w:val="00116B3D"/>
    <w:rsid w:val="001170CF"/>
    <w:rsid w:val="001179FB"/>
    <w:rsid w:val="00120B23"/>
    <w:rsid w:val="00133B72"/>
    <w:rsid w:val="00136667"/>
    <w:rsid w:val="00150ED6"/>
    <w:rsid w:val="0015773B"/>
    <w:rsid w:val="00162427"/>
    <w:rsid w:val="001654B8"/>
    <w:rsid w:val="00170AD6"/>
    <w:rsid w:val="00172EC0"/>
    <w:rsid w:val="00174A7C"/>
    <w:rsid w:val="0018114D"/>
    <w:rsid w:val="0018424F"/>
    <w:rsid w:val="00193378"/>
    <w:rsid w:val="001A415B"/>
    <w:rsid w:val="001A41A1"/>
    <w:rsid w:val="001B7894"/>
    <w:rsid w:val="001D6B4B"/>
    <w:rsid w:val="001E2ADF"/>
    <w:rsid w:val="001E3530"/>
    <w:rsid w:val="001F5041"/>
    <w:rsid w:val="001F6097"/>
    <w:rsid w:val="001F7648"/>
    <w:rsid w:val="001F7BFF"/>
    <w:rsid w:val="00210603"/>
    <w:rsid w:val="002159E8"/>
    <w:rsid w:val="00216F6B"/>
    <w:rsid w:val="00220950"/>
    <w:rsid w:val="0022338C"/>
    <w:rsid w:val="002245FC"/>
    <w:rsid w:val="002314CF"/>
    <w:rsid w:val="00242198"/>
    <w:rsid w:val="0024461D"/>
    <w:rsid w:val="002449C1"/>
    <w:rsid w:val="00247AD5"/>
    <w:rsid w:val="00253AAB"/>
    <w:rsid w:val="00263BA7"/>
    <w:rsid w:val="002742ED"/>
    <w:rsid w:val="00280DFE"/>
    <w:rsid w:val="002834B6"/>
    <w:rsid w:val="00283AE9"/>
    <w:rsid w:val="00283BF2"/>
    <w:rsid w:val="002864F8"/>
    <w:rsid w:val="00287D6F"/>
    <w:rsid w:val="00290B22"/>
    <w:rsid w:val="00292CF1"/>
    <w:rsid w:val="00293969"/>
    <w:rsid w:val="00297FF4"/>
    <w:rsid w:val="002A1804"/>
    <w:rsid w:val="002A47EF"/>
    <w:rsid w:val="002B40AA"/>
    <w:rsid w:val="002B795F"/>
    <w:rsid w:val="002D06A9"/>
    <w:rsid w:val="002D5BD2"/>
    <w:rsid w:val="002D72CA"/>
    <w:rsid w:val="002E3B11"/>
    <w:rsid w:val="002F341C"/>
    <w:rsid w:val="002F3AA6"/>
    <w:rsid w:val="00302E0C"/>
    <w:rsid w:val="00304223"/>
    <w:rsid w:val="0031717E"/>
    <w:rsid w:val="00327678"/>
    <w:rsid w:val="00334B91"/>
    <w:rsid w:val="0034009E"/>
    <w:rsid w:val="00343A8F"/>
    <w:rsid w:val="003457BA"/>
    <w:rsid w:val="00372639"/>
    <w:rsid w:val="00373B17"/>
    <w:rsid w:val="00374CF3"/>
    <w:rsid w:val="003772DD"/>
    <w:rsid w:val="00380641"/>
    <w:rsid w:val="00382550"/>
    <w:rsid w:val="003903E0"/>
    <w:rsid w:val="00391DE2"/>
    <w:rsid w:val="00395B85"/>
    <w:rsid w:val="00395E51"/>
    <w:rsid w:val="003A2568"/>
    <w:rsid w:val="003A64D3"/>
    <w:rsid w:val="003A6872"/>
    <w:rsid w:val="003B017C"/>
    <w:rsid w:val="003B23EC"/>
    <w:rsid w:val="003E7E97"/>
    <w:rsid w:val="003F1575"/>
    <w:rsid w:val="003F4945"/>
    <w:rsid w:val="004137E6"/>
    <w:rsid w:val="0041659B"/>
    <w:rsid w:val="004248FC"/>
    <w:rsid w:val="004270ED"/>
    <w:rsid w:val="00427CE3"/>
    <w:rsid w:val="0043155E"/>
    <w:rsid w:val="0044681C"/>
    <w:rsid w:val="004469D8"/>
    <w:rsid w:val="004544B8"/>
    <w:rsid w:val="00454EA7"/>
    <w:rsid w:val="00456F99"/>
    <w:rsid w:val="004643C1"/>
    <w:rsid w:val="00470677"/>
    <w:rsid w:val="00470DA9"/>
    <w:rsid w:val="004756DF"/>
    <w:rsid w:val="0047693E"/>
    <w:rsid w:val="0048278E"/>
    <w:rsid w:val="00486748"/>
    <w:rsid w:val="0049180B"/>
    <w:rsid w:val="00495E35"/>
    <w:rsid w:val="004A493D"/>
    <w:rsid w:val="004A4D21"/>
    <w:rsid w:val="004A592B"/>
    <w:rsid w:val="004A657B"/>
    <w:rsid w:val="004B4651"/>
    <w:rsid w:val="004C4E5D"/>
    <w:rsid w:val="004E0126"/>
    <w:rsid w:val="004F6742"/>
    <w:rsid w:val="00501735"/>
    <w:rsid w:val="00504208"/>
    <w:rsid w:val="00510A22"/>
    <w:rsid w:val="005135E4"/>
    <w:rsid w:val="005167FC"/>
    <w:rsid w:val="00520FA7"/>
    <w:rsid w:val="0052406D"/>
    <w:rsid w:val="00535680"/>
    <w:rsid w:val="00536A90"/>
    <w:rsid w:val="00536C05"/>
    <w:rsid w:val="00541530"/>
    <w:rsid w:val="00544C15"/>
    <w:rsid w:val="00546877"/>
    <w:rsid w:val="005518CC"/>
    <w:rsid w:val="005545FF"/>
    <w:rsid w:val="0055498D"/>
    <w:rsid w:val="00556748"/>
    <w:rsid w:val="00560062"/>
    <w:rsid w:val="005604BC"/>
    <w:rsid w:val="00586E83"/>
    <w:rsid w:val="00595882"/>
    <w:rsid w:val="005966B7"/>
    <w:rsid w:val="00597FE2"/>
    <w:rsid w:val="005A2C29"/>
    <w:rsid w:val="005B0FE3"/>
    <w:rsid w:val="005B1279"/>
    <w:rsid w:val="005C2080"/>
    <w:rsid w:val="005C2CC8"/>
    <w:rsid w:val="005C760B"/>
    <w:rsid w:val="005D70C5"/>
    <w:rsid w:val="005E0E1F"/>
    <w:rsid w:val="005F2351"/>
    <w:rsid w:val="005F7927"/>
    <w:rsid w:val="006073F7"/>
    <w:rsid w:val="0061008E"/>
    <w:rsid w:val="00613F2C"/>
    <w:rsid w:val="00630DFD"/>
    <w:rsid w:val="0063225B"/>
    <w:rsid w:val="00635D26"/>
    <w:rsid w:val="00641035"/>
    <w:rsid w:val="006410B0"/>
    <w:rsid w:val="00655EB2"/>
    <w:rsid w:val="00655F0E"/>
    <w:rsid w:val="0065700A"/>
    <w:rsid w:val="006607AF"/>
    <w:rsid w:val="00671334"/>
    <w:rsid w:val="00672CAD"/>
    <w:rsid w:val="0067492E"/>
    <w:rsid w:val="0069495C"/>
    <w:rsid w:val="00696CD8"/>
    <w:rsid w:val="00696D8F"/>
    <w:rsid w:val="0069729D"/>
    <w:rsid w:val="00697C40"/>
    <w:rsid w:val="006A2A28"/>
    <w:rsid w:val="006A4216"/>
    <w:rsid w:val="006B22CB"/>
    <w:rsid w:val="006B5364"/>
    <w:rsid w:val="006C2F75"/>
    <w:rsid w:val="006D0C86"/>
    <w:rsid w:val="006D3464"/>
    <w:rsid w:val="006D3C66"/>
    <w:rsid w:val="006E0C60"/>
    <w:rsid w:val="006E1D37"/>
    <w:rsid w:val="006E3392"/>
    <w:rsid w:val="006F268E"/>
    <w:rsid w:val="006F727B"/>
    <w:rsid w:val="00703EA8"/>
    <w:rsid w:val="00704DBD"/>
    <w:rsid w:val="00705B25"/>
    <w:rsid w:val="00717849"/>
    <w:rsid w:val="007179F7"/>
    <w:rsid w:val="00725D18"/>
    <w:rsid w:val="007319E2"/>
    <w:rsid w:val="00743021"/>
    <w:rsid w:val="00745786"/>
    <w:rsid w:val="007458B7"/>
    <w:rsid w:val="007510BB"/>
    <w:rsid w:val="00754FAD"/>
    <w:rsid w:val="0075638E"/>
    <w:rsid w:val="00757F66"/>
    <w:rsid w:val="00766686"/>
    <w:rsid w:val="007724EB"/>
    <w:rsid w:val="00777A02"/>
    <w:rsid w:val="00782984"/>
    <w:rsid w:val="007857F2"/>
    <w:rsid w:val="00786D37"/>
    <w:rsid w:val="00787979"/>
    <w:rsid w:val="007A40E5"/>
    <w:rsid w:val="007B337C"/>
    <w:rsid w:val="007B79F6"/>
    <w:rsid w:val="007C2F32"/>
    <w:rsid w:val="007C665B"/>
    <w:rsid w:val="007C69F9"/>
    <w:rsid w:val="007D2168"/>
    <w:rsid w:val="007D5142"/>
    <w:rsid w:val="007D54D4"/>
    <w:rsid w:val="007D5E33"/>
    <w:rsid w:val="007F00C7"/>
    <w:rsid w:val="007F4738"/>
    <w:rsid w:val="007F7696"/>
    <w:rsid w:val="007F7927"/>
    <w:rsid w:val="00803864"/>
    <w:rsid w:val="00803B8E"/>
    <w:rsid w:val="0080705E"/>
    <w:rsid w:val="00810485"/>
    <w:rsid w:val="00812195"/>
    <w:rsid w:val="008147DC"/>
    <w:rsid w:val="008169F7"/>
    <w:rsid w:val="008219DE"/>
    <w:rsid w:val="008220D4"/>
    <w:rsid w:val="00823EB7"/>
    <w:rsid w:val="008264FF"/>
    <w:rsid w:val="008271F2"/>
    <w:rsid w:val="00833152"/>
    <w:rsid w:val="008371DB"/>
    <w:rsid w:val="00844C11"/>
    <w:rsid w:val="00852904"/>
    <w:rsid w:val="00865EF7"/>
    <w:rsid w:val="00870661"/>
    <w:rsid w:val="0087674E"/>
    <w:rsid w:val="00886D3B"/>
    <w:rsid w:val="00890164"/>
    <w:rsid w:val="00890B86"/>
    <w:rsid w:val="00897018"/>
    <w:rsid w:val="008A2BC1"/>
    <w:rsid w:val="008A5634"/>
    <w:rsid w:val="008B0936"/>
    <w:rsid w:val="008B12DD"/>
    <w:rsid w:val="008B50B9"/>
    <w:rsid w:val="008C254F"/>
    <w:rsid w:val="008D26DC"/>
    <w:rsid w:val="008E053B"/>
    <w:rsid w:val="008E3289"/>
    <w:rsid w:val="008E64D5"/>
    <w:rsid w:val="008F6118"/>
    <w:rsid w:val="008F666F"/>
    <w:rsid w:val="008F694E"/>
    <w:rsid w:val="008F6F05"/>
    <w:rsid w:val="009012BE"/>
    <w:rsid w:val="00902C34"/>
    <w:rsid w:val="0091580F"/>
    <w:rsid w:val="00921FA3"/>
    <w:rsid w:val="009225A7"/>
    <w:rsid w:val="00922952"/>
    <w:rsid w:val="009240AA"/>
    <w:rsid w:val="009307B3"/>
    <w:rsid w:val="0093251E"/>
    <w:rsid w:val="00935005"/>
    <w:rsid w:val="00937C57"/>
    <w:rsid w:val="00944B20"/>
    <w:rsid w:val="00950220"/>
    <w:rsid w:val="00951B9A"/>
    <w:rsid w:val="0095258C"/>
    <w:rsid w:val="00956EBE"/>
    <w:rsid w:val="0095713D"/>
    <w:rsid w:val="00963B66"/>
    <w:rsid w:val="00966A35"/>
    <w:rsid w:val="009740F1"/>
    <w:rsid w:val="00984DDC"/>
    <w:rsid w:val="00985E05"/>
    <w:rsid w:val="009A6A2D"/>
    <w:rsid w:val="009B7C19"/>
    <w:rsid w:val="009C0B53"/>
    <w:rsid w:val="009C105F"/>
    <w:rsid w:val="009D38E5"/>
    <w:rsid w:val="009D48FE"/>
    <w:rsid w:val="009E481F"/>
    <w:rsid w:val="009F048A"/>
    <w:rsid w:val="009F210A"/>
    <w:rsid w:val="009F438C"/>
    <w:rsid w:val="009F4FDA"/>
    <w:rsid w:val="00A02BED"/>
    <w:rsid w:val="00A11464"/>
    <w:rsid w:val="00A12E51"/>
    <w:rsid w:val="00A13CB1"/>
    <w:rsid w:val="00A176DB"/>
    <w:rsid w:val="00A32D07"/>
    <w:rsid w:val="00A40EE9"/>
    <w:rsid w:val="00A47AB0"/>
    <w:rsid w:val="00A50761"/>
    <w:rsid w:val="00A517B1"/>
    <w:rsid w:val="00A61E8F"/>
    <w:rsid w:val="00A62464"/>
    <w:rsid w:val="00A65106"/>
    <w:rsid w:val="00A710F8"/>
    <w:rsid w:val="00A71385"/>
    <w:rsid w:val="00A713D2"/>
    <w:rsid w:val="00A8253F"/>
    <w:rsid w:val="00A87856"/>
    <w:rsid w:val="00A94AFA"/>
    <w:rsid w:val="00A94D4D"/>
    <w:rsid w:val="00A957C7"/>
    <w:rsid w:val="00AA141D"/>
    <w:rsid w:val="00AA399B"/>
    <w:rsid w:val="00AA4798"/>
    <w:rsid w:val="00AB7B00"/>
    <w:rsid w:val="00AB7C42"/>
    <w:rsid w:val="00AC7C59"/>
    <w:rsid w:val="00AD4AE9"/>
    <w:rsid w:val="00AD64C5"/>
    <w:rsid w:val="00AE3C71"/>
    <w:rsid w:val="00AE781E"/>
    <w:rsid w:val="00AF51C2"/>
    <w:rsid w:val="00B0396F"/>
    <w:rsid w:val="00B159B8"/>
    <w:rsid w:val="00B16AAE"/>
    <w:rsid w:val="00B2094A"/>
    <w:rsid w:val="00B35053"/>
    <w:rsid w:val="00B35793"/>
    <w:rsid w:val="00B37CAB"/>
    <w:rsid w:val="00B45471"/>
    <w:rsid w:val="00B45815"/>
    <w:rsid w:val="00B527E0"/>
    <w:rsid w:val="00B636FB"/>
    <w:rsid w:val="00B668A3"/>
    <w:rsid w:val="00B66A10"/>
    <w:rsid w:val="00B66D4D"/>
    <w:rsid w:val="00B67741"/>
    <w:rsid w:val="00B70730"/>
    <w:rsid w:val="00B818A6"/>
    <w:rsid w:val="00B84478"/>
    <w:rsid w:val="00B85A20"/>
    <w:rsid w:val="00B92A4D"/>
    <w:rsid w:val="00B9433D"/>
    <w:rsid w:val="00BA0CA1"/>
    <w:rsid w:val="00BA0E11"/>
    <w:rsid w:val="00BA679D"/>
    <w:rsid w:val="00BB6895"/>
    <w:rsid w:val="00BC76DE"/>
    <w:rsid w:val="00BD0BC1"/>
    <w:rsid w:val="00BF4788"/>
    <w:rsid w:val="00BF6909"/>
    <w:rsid w:val="00C11A23"/>
    <w:rsid w:val="00C14CC2"/>
    <w:rsid w:val="00C1697A"/>
    <w:rsid w:val="00C175A2"/>
    <w:rsid w:val="00C24716"/>
    <w:rsid w:val="00C27B6E"/>
    <w:rsid w:val="00C368C4"/>
    <w:rsid w:val="00C36F2B"/>
    <w:rsid w:val="00C42218"/>
    <w:rsid w:val="00C4547C"/>
    <w:rsid w:val="00C50944"/>
    <w:rsid w:val="00C51857"/>
    <w:rsid w:val="00C5194B"/>
    <w:rsid w:val="00C52DCF"/>
    <w:rsid w:val="00C53FBC"/>
    <w:rsid w:val="00C57EDA"/>
    <w:rsid w:val="00C64C0A"/>
    <w:rsid w:val="00C6632F"/>
    <w:rsid w:val="00C67CC1"/>
    <w:rsid w:val="00C74239"/>
    <w:rsid w:val="00C77B8D"/>
    <w:rsid w:val="00C90E4F"/>
    <w:rsid w:val="00C96961"/>
    <w:rsid w:val="00CA1702"/>
    <w:rsid w:val="00CA5427"/>
    <w:rsid w:val="00CC18CD"/>
    <w:rsid w:val="00CC348E"/>
    <w:rsid w:val="00CD0E11"/>
    <w:rsid w:val="00CD2252"/>
    <w:rsid w:val="00CD300E"/>
    <w:rsid w:val="00CD6F23"/>
    <w:rsid w:val="00CE050C"/>
    <w:rsid w:val="00CE7EC1"/>
    <w:rsid w:val="00CF2E8E"/>
    <w:rsid w:val="00CF7AC8"/>
    <w:rsid w:val="00D23E01"/>
    <w:rsid w:val="00D25477"/>
    <w:rsid w:val="00D2770E"/>
    <w:rsid w:val="00D4037F"/>
    <w:rsid w:val="00D403FB"/>
    <w:rsid w:val="00D42B22"/>
    <w:rsid w:val="00D44908"/>
    <w:rsid w:val="00D46716"/>
    <w:rsid w:val="00D51803"/>
    <w:rsid w:val="00D603B4"/>
    <w:rsid w:val="00D60AB6"/>
    <w:rsid w:val="00D75A50"/>
    <w:rsid w:val="00D7608E"/>
    <w:rsid w:val="00D775F4"/>
    <w:rsid w:val="00D77CD8"/>
    <w:rsid w:val="00D84129"/>
    <w:rsid w:val="00D928CC"/>
    <w:rsid w:val="00D93CA0"/>
    <w:rsid w:val="00DA0A4A"/>
    <w:rsid w:val="00DB4D1A"/>
    <w:rsid w:val="00DB64AB"/>
    <w:rsid w:val="00DC1AFA"/>
    <w:rsid w:val="00DD21A1"/>
    <w:rsid w:val="00DE1E5B"/>
    <w:rsid w:val="00DF2DB3"/>
    <w:rsid w:val="00E04ACC"/>
    <w:rsid w:val="00E15F20"/>
    <w:rsid w:val="00E2350C"/>
    <w:rsid w:val="00E25E47"/>
    <w:rsid w:val="00E34103"/>
    <w:rsid w:val="00E35F81"/>
    <w:rsid w:val="00E4698F"/>
    <w:rsid w:val="00E5396B"/>
    <w:rsid w:val="00E56D75"/>
    <w:rsid w:val="00E61E28"/>
    <w:rsid w:val="00E63E62"/>
    <w:rsid w:val="00E70AB5"/>
    <w:rsid w:val="00E713D0"/>
    <w:rsid w:val="00E715EC"/>
    <w:rsid w:val="00E774B8"/>
    <w:rsid w:val="00E84B2D"/>
    <w:rsid w:val="00E85DA9"/>
    <w:rsid w:val="00E87A04"/>
    <w:rsid w:val="00E924FD"/>
    <w:rsid w:val="00E97776"/>
    <w:rsid w:val="00EA3AE1"/>
    <w:rsid w:val="00EA6B5F"/>
    <w:rsid w:val="00EB2673"/>
    <w:rsid w:val="00EB286B"/>
    <w:rsid w:val="00EB2D0B"/>
    <w:rsid w:val="00EB56B7"/>
    <w:rsid w:val="00EB6BA7"/>
    <w:rsid w:val="00EB7D2A"/>
    <w:rsid w:val="00EC33F4"/>
    <w:rsid w:val="00EC354F"/>
    <w:rsid w:val="00ED4678"/>
    <w:rsid w:val="00EE1734"/>
    <w:rsid w:val="00F179E4"/>
    <w:rsid w:val="00F20A0E"/>
    <w:rsid w:val="00F21C0A"/>
    <w:rsid w:val="00F2377E"/>
    <w:rsid w:val="00F30C24"/>
    <w:rsid w:val="00F36878"/>
    <w:rsid w:val="00F37BE0"/>
    <w:rsid w:val="00F40206"/>
    <w:rsid w:val="00F416F4"/>
    <w:rsid w:val="00F43AF6"/>
    <w:rsid w:val="00F50DCC"/>
    <w:rsid w:val="00F51356"/>
    <w:rsid w:val="00F627F2"/>
    <w:rsid w:val="00F64D44"/>
    <w:rsid w:val="00F712D5"/>
    <w:rsid w:val="00F73A85"/>
    <w:rsid w:val="00F8137F"/>
    <w:rsid w:val="00F83D3C"/>
    <w:rsid w:val="00F83E3B"/>
    <w:rsid w:val="00F8786B"/>
    <w:rsid w:val="00F919A0"/>
    <w:rsid w:val="00F965D6"/>
    <w:rsid w:val="00FA29A6"/>
    <w:rsid w:val="00FA4405"/>
    <w:rsid w:val="00FA4F4D"/>
    <w:rsid w:val="00FB1C51"/>
    <w:rsid w:val="00FB1CB5"/>
    <w:rsid w:val="00FB4C5F"/>
    <w:rsid w:val="00FC0102"/>
    <w:rsid w:val="00FC53DE"/>
    <w:rsid w:val="00FC57A3"/>
    <w:rsid w:val="00FD3842"/>
    <w:rsid w:val="00FD467A"/>
    <w:rsid w:val="00FE0392"/>
    <w:rsid w:val="00FE0A90"/>
    <w:rsid w:val="00FE3356"/>
    <w:rsid w:val="00FE52DB"/>
    <w:rsid w:val="00FF0DF0"/>
    <w:rsid w:val="00FF1326"/>
    <w:rsid w:val="00FF1B7C"/>
    <w:rsid w:val="7FFE77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semiHidden="0" w:name="annotation text"/>
    <w:lsdException w:uiPriority="99" w:name="header"/>
    <w:lsdException w:uiPriority="99"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19"/>
    <w:qFormat/>
    <w:uiPriority w:val="9"/>
    <w:pPr>
      <w:keepNext/>
      <w:keepLines/>
      <w:outlineLvl w:val="0"/>
    </w:pPr>
    <w:rPr>
      <w:rFonts w:eastAsia="黑体"/>
      <w:bCs/>
      <w:kern w:val="44"/>
      <w:sz w:val="28"/>
      <w:szCs w:val="44"/>
    </w:rPr>
  </w:style>
  <w:style w:type="paragraph" w:styleId="3">
    <w:name w:val="heading 2"/>
    <w:basedOn w:val="1"/>
    <w:next w:val="1"/>
    <w:link w:val="20"/>
    <w:unhideWhenUsed/>
    <w:qFormat/>
    <w:uiPriority w:val="9"/>
    <w:pPr>
      <w:keepNext/>
      <w:keepLines/>
      <w:outlineLvl w:val="1"/>
    </w:pPr>
    <w:rPr>
      <w:rFonts w:ascii="Times New Roman" w:hAnsi="Times New Roman" w:eastAsia="楷体"/>
      <w:b/>
      <w:bCs/>
      <w:kern w:val="0"/>
      <w:sz w:val="28"/>
      <w:szCs w:val="32"/>
    </w:rPr>
  </w:style>
  <w:style w:type="paragraph" w:styleId="4">
    <w:name w:val="heading 3"/>
    <w:basedOn w:val="1"/>
    <w:next w:val="1"/>
    <w:link w:val="21"/>
    <w:unhideWhenUsed/>
    <w:qFormat/>
    <w:uiPriority w:val="9"/>
    <w:pPr>
      <w:keepNext/>
      <w:keepLines/>
      <w:outlineLvl w:val="2"/>
    </w:pPr>
    <w:rPr>
      <w:rFonts w:ascii="Times New Roman" w:hAnsi="Times New Roman" w:eastAsia="楷体"/>
      <w:b/>
      <w:bCs/>
      <w:kern w:val="0"/>
      <w:sz w:val="28"/>
      <w:szCs w:val="32"/>
    </w:rPr>
  </w:style>
  <w:style w:type="character" w:default="1" w:styleId="13">
    <w:name w:val="Default Paragraph Font"/>
    <w:semiHidden/>
    <w:unhideWhenUsed/>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5">
    <w:name w:val="caption"/>
    <w:basedOn w:val="1"/>
    <w:next w:val="1"/>
    <w:unhideWhenUsed/>
    <w:qFormat/>
    <w:uiPriority w:val="35"/>
    <w:rPr>
      <w:rFonts w:ascii="Cambria" w:hAnsi="Cambria" w:eastAsia="黑体"/>
      <w:sz w:val="20"/>
      <w:szCs w:val="20"/>
    </w:rPr>
  </w:style>
  <w:style w:type="paragraph" w:styleId="6">
    <w:name w:val="annotation text"/>
    <w:basedOn w:val="1"/>
    <w:link w:val="24"/>
    <w:unhideWhenUsed/>
    <w:uiPriority w:val="99"/>
    <w:pPr>
      <w:jc w:val="left"/>
    </w:pPr>
  </w:style>
  <w:style w:type="paragraph" w:styleId="7">
    <w:name w:val="Balloon Text"/>
    <w:basedOn w:val="1"/>
    <w:link w:val="22"/>
    <w:semiHidden/>
    <w:unhideWhenUsed/>
    <w:uiPriority w:val="99"/>
    <w:rPr>
      <w:kern w:val="0"/>
      <w:sz w:val="18"/>
      <w:szCs w:val="18"/>
    </w:rPr>
  </w:style>
  <w:style w:type="paragraph" w:styleId="8">
    <w:name w:val="footer"/>
    <w:basedOn w:val="1"/>
    <w:link w:val="28"/>
    <w:semiHidden/>
    <w:unhideWhenUsed/>
    <w:uiPriority w:val="99"/>
    <w:pPr>
      <w:tabs>
        <w:tab w:val="center" w:pos="4153"/>
        <w:tab w:val="right" w:pos="8306"/>
      </w:tabs>
      <w:snapToGrid w:val="0"/>
      <w:jc w:val="left"/>
    </w:pPr>
    <w:rPr>
      <w:sz w:val="18"/>
      <w:szCs w:val="18"/>
    </w:rPr>
  </w:style>
  <w:style w:type="paragraph" w:styleId="9">
    <w:name w:val="header"/>
    <w:basedOn w:val="1"/>
    <w:link w:val="27"/>
    <w:semiHidden/>
    <w:unhideWhenUsed/>
    <w:uiPriority w:val="99"/>
    <w:pPr>
      <w:pBdr>
        <w:bottom w:val="single" w:color="auto" w:sz="6" w:space="1"/>
      </w:pBdr>
      <w:tabs>
        <w:tab w:val="center" w:pos="4153"/>
        <w:tab w:val="right" w:pos="8306"/>
      </w:tabs>
      <w:snapToGrid w:val="0"/>
      <w:jc w:val="center"/>
    </w:pPr>
    <w:rPr>
      <w:sz w:val="18"/>
      <w:szCs w:val="18"/>
    </w:rPr>
  </w:style>
  <w:style w:type="paragraph" w:styleId="10">
    <w:name w:val="annotation subject"/>
    <w:basedOn w:val="6"/>
    <w:next w:val="6"/>
    <w:link w:val="25"/>
    <w:semiHidden/>
    <w:unhideWhenUsed/>
    <w:uiPriority w:val="99"/>
    <w:rPr>
      <w:b/>
      <w:bCs/>
    </w:rPr>
  </w:style>
  <w:style w:type="table" w:styleId="12">
    <w:name w:val="Table Grid"/>
    <w:basedOn w:val="11"/>
    <w:unhideWhenUsed/>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Strong"/>
    <w:basedOn w:val="13"/>
    <w:qFormat/>
    <w:uiPriority w:val="22"/>
    <w:rPr>
      <w:b/>
      <w:bCs/>
    </w:rPr>
  </w:style>
  <w:style w:type="character" w:styleId="15">
    <w:name w:val="Emphasis"/>
    <w:basedOn w:val="13"/>
    <w:qFormat/>
    <w:uiPriority w:val="20"/>
    <w:rPr>
      <w:i/>
      <w:iCs/>
    </w:rPr>
  </w:style>
  <w:style w:type="character" w:styleId="16">
    <w:name w:val="Hyperlink"/>
    <w:basedOn w:val="13"/>
    <w:semiHidden/>
    <w:unhideWhenUsed/>
    <w:uiPriority w:val="99"/>
    <w:rPr>
      <w:color w:val="0000FF"/>
      <w:u w:val="single"/>
    </w:rPr>
  </w:style>
  <w:style w:type="character" w:styleId="17">
    <w:name w:val="annotation reference"/>
    <w:basedOn w:val="13"/>
    <w:semiHidden/>
    <w:unhideWhenUsed/>
    <w:uiPriority w:val="99"/>
    <w:rPr>
      <w:sz w:val="21"/>
      <w:szCs w:val="21"/>
    </w:rPr>
  </w:style>
  <w:style w:type="paragraph" w:styleId="18">
    <w:name w:val="List Paragraph"/>
    <w:basedOn w:val="1"/>
    <w:qFormat/>
    <w:uiPriority w:val="34"/>
    <w:pPr>
      <w:ind w:firstLine="420" w:firstLineChars="200"/>
    </w:pPr>
  </w:style>
  <w:style w:type="character" w:customStyle="1" w:styleId="19">
    <w:name w:val="标题 1 Char"/>
    <w:link w:val="2"/>
    <w:qFormat/>
    <w:uiPriority w:val="9"/>
    <w:rPr>
      <w:rFonts w:eastAsia="黑体"/>
      <w:bCs/>
      <w:kern w:val="44"/>
      <w:sz w:val="28"/>
      <w:szCs w:val="44"/>
    </w:rPr>
  </w:style>
  <w:style w:type="character" w:customStyle="1" w:styleId="20">
    <w:name w:val="标题 2 Char"/>
    <w:link w:val="3"/>
    <w:qFormat/>
    <w:uiPriority w:val="9"/>
    <w:rPr>
      <w:rFonts w:ascii="Times New Roman" w:hAnsi="Times New Roman" w:eastAsia="楷体" w:cs="Times New Roman"/>
      <w:b/>
      <w:bCs/>
      <w:sz w:val="28"/>
      <w:szCs w:val="32"/>
    </w:rPr>
  </w:style>
  <w:style w:type="character" w:customStyle="1" w:styleId="21">
    <w:name w:val="标题 3 Char"/>
    <w:link w:val="4"/>
    <w:uiPriority w:val="9"/>
    <w:rPr>
      <w:rFonts w:ascii="Times New Roman" w:hAnsi="Times New Roman" w:eastAsia="楷体"/>
      <w:b/>
      <w:bCs/>
      <w:sz w:val="28"/>
      <w:szCs w:val="32"/>
    </w:rPr>
  </w:style>
  <w:style w:type="character" w:customStyle="1" w:styleId="22">
    <w:name w:val="批注框文本 Char"/>
    <w:link w:val="7"/>
    <w:semiHidden/>
    <w:uiPriority w:val="99"/>
    <w:rPr>
      <w:sz w:val="18"/>
      <w:szCs w:val="18"/>
    </w:rPr>
  </w:style>
  <w:style w:type="paragraph" w:customStyle="1" w:styleId="23">
    <w:name w:val="段"/>
    <w:link w:val="30"/>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4">
    <w:name w:val="批注文字 Char"/>
    <w:basedOn w:val="13"/>
    <w:link w:val="6"/>
    <w:uiPriority w:val="99"/>
    <w:rPr>
      <w:kern w:val="2"/>
      <w:sz w:val="21"/>
      <w:szCs w:val="22"/>
    </w:rPr>
  </w:style>
  <w:style w:type="character" w:customStyle="1" w:styleId="25">
    <w:name w:val="批注主题 Char"/>
    <w:basedOn w:val="24"/>
    <w:link w:val="10"/>
    <w:semiHidden/>
    <w:uiPriority w:val="99"/>
    <w:rPr>
      <w:b/>
      <w:bCs/>
      <w:kern w:val="2"/>
      <w:sz w:val="21"/>
      <w:szCs w:val="22"/>
    </w:rPr>
  </w:style>
  <w:style w:type="character" w:customStyle="1" w:styleId="26">
    <w:name w:val="批注文字 字符"/>
    <w:semiHidden/>
    <w:uiPriority w:val="99"/>
    <w:rPr>
      <w:kern w:val="2"/>
      <w:sz w:val="21"/>
      <w:szCs w:val="22"/>
    </w:rPr>
  </w:style>
  <w:style w:type="character" w:customStyle="1" w:styleId="27">
    <w:name w:val="页眉 Char"/>
    <w:basedOn w:val="13"/>
    <w:link w:val="9"/>
    <w:semiHidden/>
    <w:uiPriority w:val="99"/>
    <w:rPr>
      <w:kern w:val="2"/>
      <w:sz w:val="18"/>
      <w:szCs w:val="18"/>
    </w:rPr>
  </w:style>
  <w:style w:type="character" w:customStyle="1" w:styleId="28">
    <w:name w:val="页脚 Char"/>
    <w:basedOn w:val="13"/>
    <w:link w:val="8"/>
    <w:semiHidden/>
    <w:uiPriority w:val="99"/>
    <w:rPr>
      <w:kern w:val="2"/>
      <w:sz w:val="18"/>
      <w:szCs w:val="18"/>
    </w:rPr>
  </w:style>
  <w:style w:type="paragraph" w:customStyle="1" w:styleId="29">
    <w:name w:val="列出段落1"/>
    <w:basedOn w:val="1"/>
    <w:qFormat/>
    <w:uiPriority w:val="99"/>
    <w:pPr>
      <w:ind w:firstLine="420" w:firstLineChars="200"/>
    </w:pPr>
    <w:rPr>
      <w:rFonts w:ascii="Times New Roman" w:hAnsi="Times New Roman"/>
      <w:szCs w:val="24"/>
    </w:rPr>
  </w:style>
  <w:style w:type="character" w:customStyle="1" w:styleId="30">
    <w:name w:val="段 Char"/>
    <w:link w:val="23"/>
    <w:uiPriority w:val="0"/>
    <w:rPr>
      <w:rFonts w:ascii="宋体" w:hAnsi="Times New Roman"/>
      <w:sz w:val="21"/>
    </w:rPr>
  </w:style>
  <w:style w:type="paragraph" w:customStyle="1" w:styleId="31">
    <w:name w:val="一级条标题"/>
    <w:next w:val="23"/>
    <w:uiPriority w:val="0"/>
    <w:pPr>
      <w:numPr>
        <w:ilvl w:val="1"/>
        <w:numId w:val="1"/>
      </w:numPr>
      <w:spacing w:beforeLines="50" w:afterLines="50"/>
      <w:ind w:left="0"/>
      <w:outlineLvl w:val="2"/>
    </w:pPr>
    <w:rPr>
      <w:rFonts w:ascii="黑体" w:hAnsi="Times New Roman" w:eastAsia="黑体" w:cs="Times New Roman"/>
      <w:sz w:val="21"/>
      <w:szCs w:val="21"/>
      <w:lang w:val="en-US" w:eastAsia="zh-CN" w:bidi="ar-SA"/>
    </w:rPr>
  </w:style>
  <w:style w:type="paragraph" w:customStyle="1" w:styleId="32">
    <w:name w:val="章标题"/>
    <w:next w:val="23"/>
    <w:uiPriority w:val="0"/>
    <w:pPr>
      <w:numPr>
        <w:ilvl w:val="0"/>
        <w:numId w:val="1"/>
      </w:numPr>
      <w:spacing w:beforeLines="100" w:afterLines="100"/>
      <w:jc w:val="both"/>
      <w:outlineLvl w:val="1"/>
    </w:pPr>
    <w:rPr>
      <w:rFonts w:ascii="黑体" w:hAnsi="Times New Roman" w:eastAsia="黑体" w:cs="Times New Roman"/>
      <w:sz w:val="21"/>
      <w:lang w:val="en-US" w:eastAsia="zh-CN" w:bidi="ar-SA"/>
    </w:rPr>
  </w:style>
  <w:style w:type="paragraph" w:customStyle="1" w:styleId="33">
    <w:name w:val="二级条标题"/>
    <w:basedOn w:val="31"/>
    <w:next w:val="23"/>
    <w:uiPriority w:val="0"/>
    <w:pPr>
      <w:numPr>
        <w:ilvl w:val="2"/>
      </w:numPr>
      <w:spacing w:before="50" w:after="50"/>
      <w:outlineLvl w:val="3"/>
    </w:pPr>
  </w:style>
  <w:style w:type="paragraph" w:customStyle="1" w:styleId="34">
    <w:name w:val="三级条标题"/>
    <w:basedOn w:val="33"/>
    <w:next w:val="23"/>
    <w:uiPriority w:val="0"/>
    <w:pPr>
      <w:numPr>
        <w:ilvl w:val="3"/>
      </w:numPr>
      <w:outlineLvl w:val="4"/>
    </w:pPr>
  </w:style>
  <w:style w:type="paragraph" w:customStyle="1" w:styleId="35">
    <w:name w:val="四级条标题"/>
    <w:basedOn w:val="34"/>
    <w:next w:val="23"/>
    <w:uiPriority w:val="0"/>
    <w:pPr>
      <w:numPr>
        <w:ilvl w:val="4"/>
      </w:numPr>
      <w:outlineLvl w:val="5"/>
    </w:pPr>
  </w:style>
  <w:style w:type="paragraph" w:customStyle="1" w:styleId="36">
    <w:name w:val="五级条标题"/>
    <w:basedOn w:val="35"/>
    <w:next w:val="23"/>
    <w:uiPriority w:val="0"/>
    <w:pPr>
      <w:numPr>
        <w:ilvl w:val="5"/>
      </w:numPr>
      <w:outlineLvl w:val="6"/>
    </w:pPr>
  </w:style>
</w:styles>
</file>

<file path=word/_rels/document.xml.rels><?xml version="1.0" encoding="UTF-8" standalone="yes"?>
<Relationships xmlns="http://schemas.openxmlformats.org/package/2006/relationships"><Relationship Id="rId9" Type="http://schemas.openxmlformats.org/officeDocument/2006/relationships/chart" Target="charts/chart6.xml"/><Relationship Id="rId8" Type="http://schemas.openxmlformats.org/officeDocument/2006/relationships/chart" Target="charts/chart5.xml"/><Relationship Id="rId7" Type="http://schemas.openxmlformats.org/officeDocument/2006/relationships/chart" Target="charts/chart4.xml"/><Relationship Id="rId6" Type="http://schemas.openxmlformats.org/officeDocument/2006/relationships/chart" Target="charts/chart3.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chart" Target="charts/chart12.xml"/><Relationship Id="rId14" Type="http://schemas.openxmlformats.org/officeDocument/2006/relationships/chart" Target="charts/chart11.xml"/><Relationship Id="rId13" Type="http://schemas.openxmlformats.org/officeDocument/2006/relationships/chart" Target="charts/chart10.xml"/><Relationship Id="rId12" Type="http://schemas.openxmlformats.org/officeDocument/2006/relationships/chart" Target="charts/chart9.xml"/><Relationship Id="rId11" Type="http://schemas.openxmlformats.org/officeDocument/2006/relationships/chart" Target="charts/chart8.xml"/><Relationship Id="rId10" Type="http://schemas.openxmlformats.org/officeDocument/2006/relationships/chart" Target="charts/chart7.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package" Target="../embeddings/Workbook2.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package" Target="../embeddings/Workbook1.xlsx"/></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embeddings/oleObject1.bin"/></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package" Target="../embeddings/Workbook4.xlsx"/></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package" Target="../embeddings/Workbook3.xlsx"/></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embeddings/oleObject2.bin"/></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7.xml"/><Relationship Id="rId1" Type="http://schemas.openxmlformats.org/officeDocument/2006/relationships/package" Target="../embeddings/Workbook5.xlsx"/></Relationships>
</file>

<file path=word/charts/_rels/chart8.xml.rels><?xml version="1.0" encoding="UTF-8" standalone="yes"?>
<Relationships xmlns="http://schemas.openxmlformats.org/package/2006/relationships"><Relationship Id="rId2" Type="http://schemas.openxmlformats.org/officeDocument/2006/relationships/chartUserShapes" Target="../drawings/drawing8.xml"/><Relationship Id="rId1" Type="http://schemas.openxmlformats.org/officeDocument/2006/relationships/package" Target="../embeddings/Workbook6.xlsx"/></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9.xml"/><Relationship Id="rId1" Type="http://schemas.openxmlformats.org/officeDocument/2006/relationships/package" Target="../embeddings/Workbook7.xlsx"/></Relationships>
</file>

<file path=word/charts/_rels/chart10.xml.rels><?xml version="1.0" encoding="UTF-8" standalone="yes"?>
<Relationships xmlns="http://schemas.openxmlformats.org/package/2006/relationships"><Relationship Id="rId2" Type="http://schemas.openxmlformats.org/officeDocument/2006/relationships/chartUserShapes" Target="../drawings/drawing10.xml"/><Relationship Id="rId1" Type="http://schemas.openxmlformats.org/officeDocument/2006/relationships/package" Target="../embeddings/Workbook8.xlsx"/></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11.xml"/><Relationship Id="rId1" Type="http://schemas.openxmlformats.org/officeDocument/2006/relationships/package" Target="../embeddings/Workbook9.xlsx"/></Relationships>
</file>

<file path=word/charts/_rels/chart12.xml.rels><?xml version="1.0" encoding="UTF-8" standalone="yes"?>
<Relationships xmlns="http://schemas.openxmlformats.org/package/2006/relationships"><Relationship Id="rId2" Type="http://schemas.openxmlformats.org/officeDocument/2006/relationships/chartUserShapes" Target="../drawings/drawing12.xml"/><Relationship Id="rId1" Type="http://schemas.openxmlformats.org/officeDocument/2006/relationships/package" Target="../embeddings/Workbook10.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zh-CN" altLang="en-US" sz="1600" b="1" i="0" u="none" strike="noStrike" baseline="0">
                <a:solidFill>
                  <a:srgbClr val="000000"/>
                </a:solidFill>
                <a:latin typeface="等线" panose="02010600030101010101" pitchFamily="2" charset="-122"/>
                <a:ea typeface="等线" panose="02010600030101010101" pitchFamily="2" charset="-122"/>
                <a:cs typeface="Calibri" panose="020F0502020204030204"/>
              </a:rPr>
              <a:t>谷物及其制品</a:t>
            </a:r>
            <a:endParaRPr lang="zh-CN" altLang="en-US" sz="1600" b="1" i="0" u="none" strike="noStrike" baseline="0">
              <a:solidFill>
                <a:srgbClr val="000000"/>
              </a:solidFill>
              <a:latin typeface="等线" panose="02010600030101010101" pitchFamily="2" charset="-122"/>
              <a:ea typeface="等线" panose="02010600030101010101" pitchFamily="2" charset="-122"/>
            </a:endParaRPr>
          </a:p>
        </c:rich>
      </c:tx>
      <c:layout/>
      <c:overlay val="0"/>
      <c:spPr>
        <a:noFill/>
        <a:ln>
          <a:noFill/>
        </a:ln>
        <a:effectLst/>
      </c:spPr>
    </c:title>
    <c:autoTitleDeleted val="0"/>
    <c:plotArea>
      <c:layout/>
      <c:pieChart>
        <c:varyColors val="1"/>
        <c:ser>
          <c:idx val="0"/>
          <c:order val="0"/>
          <c:tx>
            <c:strRef>
              <c:f>Sheet1!$B$1</c:f>
              <c:strCache>
                <c:ptCount val="1"/>
                <c:pt idx="0">
                  <c:v>谷物类</c:v>
                </c:pt>
              </c:strCache>
            </c:strRef>
          </c:tx>
          <c:explosion val="0"/>
          <c:dPt>
            <c:idx val="0"/>
            <c:bubble3D val="0"/>
            <c:spPr>
              <a:solidFill>
                <a:schemeClr val="accent6">
                  <a:shade val="50000"/>
                </a:schemeClr>
              </a:solidFill>
              <a:ln>
                <a:noFill/>
              </a:ln>
              <a:effectLst/>
            </c:spPr>
          </c:dPt>
          <c:dPt>
            <c:idx val="1"/>
            <c:bubble3D val="0"/>
            <c:spPr>
              <a:solidFill>
                <a:schemeClr val="accent6">
                  <a:shade val="70000"/>
                </a:schemeClr>
              </a:solidFill>
              <a:ln>
                <a:noFill/>
              </a:ln>
              <a:effectLst/>
            </c:spPr>
          </c:dPt>
          <c:dPt>
            <c:idx val="2"/>
            <c:bubble3D val="0"/>
            <c:spPr>
              <a:solidFill>
                <a:schemeClr val="accent6">
                  <a:shade val="90000"/>
                </a:schemeClr>
              </a:solidFill>
              <a:ln>
                <a:noFill/>
              </a:ln>
              <a:effectLst/>
            </c:spPr>
          </c:dPt>
          <c:dPt>
            <c:idx val="3"/>
            <c:bubble3D val="0"/>
            <c:spPr>
              <a:solidFill>
                <a:schemeClr val="accent6">
                  <a:tint val="90000"/>
                </a:schemeClr>
              </a:solidFill>
              <a:ln>
                <a:noFill/>
              </a:ln>
              <a:effectLst/>
            </c:spPr>
          </c:dPt>
          <c:dPt>
            <c:idx val="4"/>
            <c:bubble3D val="0"/>
            <c:spPr>
              <a:solidFill>
                <a:schemeClr val="accent6">
                  <a:tint val="70000"/>
                </a:schemeClr>
              </a:solidFill>
              <a:ln>
                <a:noFill/>
              </a:ln>
              <a:effectLst/>
            </c:spPr>
          </c:dPt>
          <c:dPt>
            <c:idx val="5"/>
            <c:bubble3D val="0"/>
            <c:spPr>
              <a:solidFill>
                <a:schemeClr val="accent6">
                  <a:tint val="50000"/>
                </a:schemeClr>
              </a:solidFill>
              <a:ln>
                <a:noFill/>
              </a:ln>
              <a:effectLst/>
            </c:spPr>
          </c:dPt>
          <c:dLbls>
            <c:spPr>
              <a:noFill/>
              <a:ln w="25401">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138</c:v>
                </c:pt>
                <c:pt idx="1">
                  <c:v>84</c:v>
                </c:pt>
                <c:pt idx="2">
                  <c:v>328</c:v>
                </c:pt>
                <c:pt idx="3">
                  <c:v>126</c:v>
                </c:pt>
                <c:pt idx="4">
                  <c:v>41</c:v>
                </c:pt>
                <c:pt idx="5">
                  <c:v>25</c:v>
                </c:pt>
              </c:numCache>
            </c:numRef>
          </c:val>
        </c:ser>
        <c:dLbls>
          <c:showLegendKey val="0"/>
          <c:showVal val="0"/>
          <c:showCatName val="0"/>
          <c:showSerName val="0"/>
          <c:showPercent val="1"/>
          <c:showBubbleSize val="0"/>
          <c:showLeaderLines val="1"/>
        </c:dLbls>
        <c:firstSliceAng val="0"/>
      </c:pieChart>
      <c:spPr>
        <a:noFill/>
        <a:ln w="25401">
          <a:noFill/>
        </a:ln>
        <a:effectLst/>
      </c:spPr>
    </c:plotArea>
    <c:legend>
      <c:legendPos val="r"/>
      <c:layout>
        <c:manualLayout>
          <c:xMode val="edge"/>
          <c:yMode val="edge"/>
          <c:x val="0.591532995523777"/>
          <c:y val="0.299937253937008"/>
          <c:w val="0.319319721662712"/>
          <c:h val="0.588062223929309"/>
        </c:manualLayout>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豆类及其制品</a:t>
            </a:r>
            <a:endParaRPr lang="zh-CN" altLang="en-US" sz="1600"/>
          </a:p>
        </c:rich>
      </c:tx>
      <c:layout/>
      <c:overlay val="0"/>
      <c:spPr>
        <a:noFill/>
        <a:ln>
          <a:noFill/>
        </a:ln>
        <a:effectLst/>
      </c:spPr>
    </c:title>
    <c:autoTitleDeleted val="0"/>
    <c:plotArea>
      <c:layout/>
      <c:pieChart>
        <c:varyColors val="1"/>
        <c:ser>
          <c:idx val="0"/>
          <c:order val="0"/>
          <c:tx>
            <c:strRef>
              <c:f>Sheet1!$B$1</c:f>
              <c:strCache>
                <c:ptCount val="1"/>
                <c:pt idx="0">
                  <c:v>豆类</c:v>
                </c:pt>
              </c:strCache>
            </c:strRef>
          </c:tx>
          <c:explosion val="0"/>
          <c:dPt>
            <c:idx val="0"/>
            <c:bubble3D val="0"/>
            <c:spPr>
              <a:solidFill>
                <a:schemeClr val="accent6">
                  <a:shade val="50000"/>
                </a:schemeClr>
              </a:solidFill>
              <a:ln>
                <a:noFill/>
              </a:ln>
              <a:effectLst/>
            </c:spPr>
          </c:dPt>
          <c:dPt>
            <c:idx val="1"/>
            <c:bubble3D val="0"/>
            <c:spPr>
              <a:solidFill>
                <a:schemeClr val="accent6">
                  <a:shade val="70000"/>
                </a:schemeClr>
              </a:solidFill>
              <a:ln>
                <a:noFill/>
              </a:ln>
              <a:effectLst/>
            </c:spPr>
          </c:dPt>
          <c:dPt>
            <c:idx val="2"/>
            <c:bubble3D val="0"/>
            <c:spPr>
              <a:solidFill>
                <a:schemeClr val="accent6">
                  <a:shade val="90000"/>
                </a:schemeClr>
              </a:solidFill>
              <a:ln>
                <a:noFill/>
              </a:ln>
              <a:effectLst/>
            </c:spPr>
          </c:dPt>
          <c:dPt>
            <c:idx val="3"/>
            <c:bubble3D val="0"/>
            <c:spPr>
              <a:solidFill>
                <a:schemeClr val="accent6">
                  <a:tint val="90000"/>
                </a:schemeClr>
              </a:solidFill>
              <a:ln>
                <a:noFill/>
              </a:ln>
              <a:effectLst/>
            </c:spPr>
          </c:dPt>
          <c:dPt>
            <c:idx val="4"/>
            <c:bubble3D val="0"/>
            <c:spPr>
              <a:solidFill>
                <a:schemeClr val="accent6">
                  <a:tint val="70000"/>
                </a:schemeClr>
              </a:solidFill>
              <a:ln>
                <a:noFill/>
              </a:ln>
              <a:effectLst/>
            </c:spPr>
          </c:dPt>
          <c:dPt>
            <c:idx val="5"/>
            <c:bubble3D val="0"/>
            <c:spPr>
              <a:solidFill>
                <a:schemeClr val="accent6">
                  <a:tint val="50000"/>
                </a:schemeClr>
              </a:solidFill>
              <a:ln>
                <a:noFill/>
              </a:ln>
              <a:effectLst/>
            </c:spPr>
          </c:dPt>
          <c:dLbls>
            <c:spPr>
              <a:noFill/>
              <a:ln w="25367">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16</c:v>
                </c:pt>
                <c:pt idx="1">
                  <c:v>18</c:v>
                </c:pt>
                <c:pt idx="2">
                  <c:v>19</c:v>
                </c:pt>
                <c:pt idx="3">
                  <c:v>16</c:v>
                </c:pt>
                <c:pt idx="4">
                  <c:v>9</c:v>
                </c:pt>
                <c:pt idx="5">
                  <c:v>13</c:v>
                </c:pt>
              </c:numCache>
            </c:numRef>
          </c:val>
        </c:ser>
        <c:dLbls>
          <c:showLegendKey val="0"/>
          <c:showVal val="0"/>
          <c:showCatName val="0"/>
          <c:showSerName val="0"/>
          <c:showPercent val="1"/>
          <c:showBubbleSize val="0"/>
          <c:showLeaderLines val="1"/>
        </c:dLbls>
        <c:firstSliceAng val="0"/>
      </c:pieChart>
      <c:spPr>
        <a:noFill/>
        <a:ln w="25367">
          <a:noFill/>
        </a:ln>
        <a:effectLst/>
      </c:spPr>
    </c:plotArea>
    <c:legend>
      <c:legendPos val="r"/>
      <c:layout>
        <c:manualLayout>
          <c:xMode val="edge"/>
          <c:yMode val="edge"/>
          <c:x val="0.607489705988587"/>
          <c:y val="0.267389171290309"/>
          <c:w val="0.349742347295345"/>
          <c:h val="0.620872454234368"/>
        </c:manualLayout>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zh-CN" altLang="en-US" sz="1600" b="1" i="0" u="none" strike="noStrike" baseline="0">
                <a:solidFill>
                  <a:srgbClr val="000000"/>
                </a:solidFill>
                <a:latin typeface="等线" panose="02010600030101010101" pitchFamily="2" charset="-122"/>
                <a:ea typeface="等线" panose="02010600030101010101" pitchFamily="2" charset="-122"/>
                <a:cs typeface="Calibri" panose="020F0502020204030204"/>
              </a:rPr>
              <a:t>薯类及其制品</a:t>
            </a:r>
            <a:endParaRPr lang="zh-CN" altLang="en-US" sz="1600" b="1" i="0" u="none" strike="noStrike" baseline="0">
              <a:solidFill>
                <a:srgbClr val="000000"/>
              </a:solidFill>
              <a:latin typeface="等线" panose="02010600030101010101" pitchFamily="2" charset="-122"/>
              <a:ea typeface="等线" panose="02010600030101010101" pitchFamily="2" charset="-122"/>
            </a:endParaRPr>
          </a:p>
        </c:rich>
      </c:tx>
      <c:layout/>
      <c:overlay val="0"/>
      <c:spPr>
        <a:noFill/>
        <a:ln>
          <a:noFill/>
        </a:ln>
        <a:effectLst/>
      </c:spPr>
    </c:title>
    <c:autoTitleDeleted val="0"/>
    <c:plotArea>
      <c:layout/>
      <c:pieChart>
        <c:varyColors val="1"/>
        <c:ser>
          <c:idx val="0"/>
          <c:order val="0"/>
          <c:tx>
            <c:strRef>
              <c:f>Sheet1!$B$1</c:f>
              <c:strCache>
                <c:ptCount val="1"/>
                <c:pt idx="0">
                  <c:v>薯类</c:v>
                </c:pt>
              </c:strCache>
            </c:strRef>
          </c:tx>
          <c:explosion val="0"/>
          <c:dPt>
            <c:idx val="0"/>
            <c:bubble3D val="0"/>
            <c:spPr>
              <a:solidFill>
                <a:schemeClr val="accent6">
                  <a:shade val="47000"/>
                </a:schemeClr>
              </a:solidFill>
              <a:ln>
                <a:noFill/>
              </a:ln>
              <a:effectLst/>
            </c:spPr>
          </c:dPt>
          <c:dPt>
            <c:idx val="1"/>
            <c:bubble3D val="0"/>
            <c:spPr>
              <a:solidFill>
                <a:schemeClr val="accent6">
                  <a:shade val="50000"/>
                </a:schemeClr>
              </a:solidFill>
              <a:ln>
                <a:noFill/>
              </a:ln>
              <a:effectLst/>
            </c:spPr>
          </c:dPt>
          <c:dPt>
            <c:idx val="2"/>
            <c:bubble3D val="0"/>
            <c:spPr>
              <a:solidFill>
                <a:schemeClr val="accent6">
                  <a:shade val="70000"/>
                </a:schemeClr>
              </a:solidFill>
              <a:ln>
                <a:noFill/>
              </a:ln>
              <a:effectLst/>
            </c:spPr>
          </c:dPt>
          <c:dPt>
            <c:idx val="3"/>
            <c:bubble3D val="0"/>
            <c:spPr>
              <a:solidFill>
                <a:schemeClr val="accent6">
                  <a:shade val="90000"/>
                </a:schemeClr>
              </a:solidFill>
              <a:ln>
                <a:noFill/>
              </a:ln>
              <a:effectLst/>
            </c:spPr>
          </c:dPt>
          <c:dPt>
            <c:idx val="4"/>
            <c:bubble3D val="0"/>
            <c:spPr>
              <a:solidFill>
                <a:schemeClr val="accent6">
                  <a:tint val="83000"/>
                </a:schemeClr>
              </a:solidFill>
              <a:ln>
                <a:noFill/>
              </a:ln>
              <a:effectLst/>
            </c:spPr>
          </c:dPt>
          <c:dPt>
            <c:idx val="5"/>
            <c:bubble3D val="0"/>
            <c:spPr>
              <a:solidFill>
                <a:schemeClr val="accent6">
                  <a:tint val="70000"/>
                </a:schemeClr>
              </a:solidFill>
              <a:ln>
                <a:noFill/>
              </a:ln>
              <a:effectLst/>
            </c:spPr>
          </c:dPt>
          <c:dPt>
            <c:idx val="6"/>
            <c:bubble3D val="0"/>
            <c:spPr>
              <a:solidFill>
                <a:schemeClr val="accent6">
                  <a:tint val="48000"/>
                </a:schemeClr>
              </a:solidFill>
              <a:ln>
                <a:noFill/>
              </a:ln>
              <a:effectLst/>
            </c:spPr>
          </c:dPt>
          <c:dLbls>
            <c:spPr>
              <a:noFill/>
              <a:ln w="25401">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Sheet1!$A$2:$A$8</c:f>
              <c:strCache>
                <c:ptCount val="7"/>
                <c:pt idx="0">
                  <c:v>总硒＜7.5</c:v>
                </c:pt>
                <c:pt idx="1">
                  <c:v>7.5≤总硒＜15</c:v>
                </c:pt>
                <c:pt idx="2">
                  <c:v>15≤总硒＜20</c:v>
                </c:pt>
                <c:pt idx="3">
                  <c:v>20≤总硒＜50</c:v>
                </c:pt>
                <c:pt idx="4">
                  <c:v>50≤总硒＜100</c:v>
                </c:pt>
                <c:pt idx="5">
                  <c:v>100≤总硒＜200</c:v>
                </c:pt>
                <c:pt idx="6">
                  <c:v>200≤总硒</c:v>
                </c:pt>
              </c:strCache>
            </c:strRef>
          </c:cat>
          <c:val>
            <c:numRef>
              <c:f>Sheet1!$B$2:$B$8</c:f>
              <c:numCache>
                <c:formatCode>General</c:formatCode>
                <c:ptCount val="7"/>
                <c:pt idx="0">
                  <c:v>61</c:v>
                </c:pt>
                <c:pt idx="1">
                  <c:v>23</c:v>
                </c:pt>
                <c:pt idx="2">
                  <c:v>10</c:v>
                </c:pt>
                <c:pt idx="3">
                  <c:v>13</c:v>
                </c:pt>
                <c:pt idx="4">
                  <c:v>4</c:v>
                </c:pt>
                <c:pt idx="5">
                  <c:v>0</c:v>
                </c:pt>
                <c:pt idx="6">
                  <c:v>0</c:v>
                </c:pt>
              </c:numCache>
            </c:numRef>
          </c:val>
        </c:ser>
        <c:dLbls>
          <c:showLegendKey val="0"/>
          <c:showVal val="0"/>
          <c:showCatName val="0"/>
          <c:showSerName val="0"/>
          <c:showPercent val="1"/>
          <c:showBubbleSize val="0"/>
          <c:showLeaderLines val="1"/>
        </c:dLbls>
        <c:firstSliceAng val="0"/>
      </c:pieChart>
      <c:spPr>
        <a:noFill/>
        <a:ln w="25401">
          <a:noFill/>
        </a:ln>
        <a:effectLst/>
      </c:spPr>
    </c:plotArea>
    <c:legend>
      <c:legendPos val="r"/>
      <c:layout>
        <c:manualLayout>
          <c:xMode val="edge"/>
          <c:yMode val="edge"/>
          <c:x val="0.591532995523777"/>
          <c:y val="0.299937253937008"/>
          <c:w val="0.319319721662712"/>
          <c:h val="0.588062223929309"/>
        </c:manualLayout>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蔬菜及其制品</a:t>
            </a:r>
            <a:endParaRPr lang="zh-CN" altLang="en-US" sz="1600"/>
          </a:p>
        </c:rich>
      </c:tx>
      <c:layout/>
      <c:overlay val="0"/>
      <c:spPr>
        <a:noFill/>
        <a:ln>
          <a:noFill/>
        </a:ln>
        <a:effectLst/>
      </c:spPr>
    </c:title>
    <c:autoTitleDeleted val="0"/>
    <c:plotArea>
      <c:layout/>
      <c:pieChart>
        <c:varyColors val="1"/>
        <c:ser>
          <c:idx val="0"/>
          <c:order val="0"/>
          <c:tx>
            <c:strRef>
              <c:f>Sheet1!$B$1</c:f>
              <c:strCache>
                <c:ptCount val="1"/>
                <c:pt idx="0">
                  <c:v>蔬菜</c:v>
                </c:pt>
              </c:strCache>
            </c:strRef>
          </c:tx>
          <c:explosion val="0"/>
          <c:dPt>
            <c:idx val="0"/>
            <c:bubble3D val="0"/>
            <c:spPr>
              <a:solidFill>
                <a:schemeClr val="accent6">
                  <a:shade val="47000"/>
                </a:schemeClr>
              </a:solidFill>
              <a:ln>
                <a:noFill/>
              </a:ln>
              <a:effectLst/>
            </c:spPr>
          </c:dPt>
          <c:dPt>
            <c:idx val="1"/>
            <c:bubble3D val="0"/>
            <c:spPr>
              <a:solidFill>
                <a:schemeClr val="accent6">
                  <a:shade val="65000"/>
                </a:schemeClr>
              </a:solidFill>
              <a:ln>
                <a:noFill/>
              </a:ln>
              <a:effectLst/>
            </c:spPr>
          </c:dPt>
          <c:dPt>
            <c:idx val="2"/>
            <c:bubble3D val="0"/>
            <c:spPr>
              <a:solidFill>
                <a:schemeClr val="accent6">
                  <a:shade val="82000"/>
                </a:schemeClr>
              </a:solidFill>
              <a:ln>
                <a:noFill/>
              </a:ln>
              <a:effectLst/>
            </c:spPr>
          </c:dPt>
          <c:dPt>
            <c:idx val="3"/>
            <c:bubble3D val="0"/>
            <c:spPr>
              <a:solidFill>
                <a:schemeClr val="accent6"/>
              </a:solidFill>
              <a:ln>
                <a:noFill/>
              </a:ln>
              <a:effectLst/>
            </c:spPr>
          </c:dPt>
          <c:dPt>
            <c:idx val="4"/>
            <c:bubble3D val="0"/>
            <c:spPr>
              <a:solidFill>
                <a:schemeClr val="accent6">
                  <a:tint val="83000"/>
                </a:schemeClr>
              </a:solidFill>
              <a:ln>
                <a:noFill/>
              </a:ln>
              <a:effectLst/>
            </c:spPr>
          </c:dPt>
          <c:dPt>
            <c:idx val="5"/>
            <c:bubble3D val="0"/>
            <c:spPr>
              <a:solidFill>
                <a:schemeClr val="accent6">
                  <a:tint val="65000"/>
                </a:schemeClr>
              </a:solidFill>
              <a:ln>
                <a:noFill/>
              </a:ln>
              <a:effectLst/>
            </c:spPr>
          </c:dPt>
          <c:dPt>
            <c:idx val="6"/>
            <c:bubble3D val="0"/>
            <c:spPr>
              <a:solidFill>
                <a:schemeClr val="accent6">
                  <a:tint val="48000"/>
                </a:schemeClr>
              </a:solidFill>
              <a:ln>
                <a:noFill/>
              </a:ln>
              <a:effectLst/>
            </c:spPr>
          </c:dPt>
          <c:dLbls>
            <c:spPr>
              <a:noFill/>
              <a:ln>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Sheet1!$A$2:$A$8</c:f>
              <c:strCache>
                <c:ptCount val="7"/>
                <c:pt idx="0">
                  <c:v>总硒＜7.5</c:v>
                </c:pt>
                <c:pt idx="1">
                  <c:v>7.5≤总硒＜15</c:v>
                </c:pt>
                <c:pt idx="2">
                  <c:v>15≤总硒＜20</c:v>
                </c:pt>
                <c:pt idx="3">
                  <c:v>20≤总硒＜50</c:v>
                </c:pt>
                <c:pt idx="4">
                  <c:v>50≤总硒＜100</c:v>
                </c:pt>
                <c:pt idx="5">
                  <c:v>100≤总硒＜200</c:v>
                </c:pt>
                <c:pt idx="6">
                  <c:v>200≤总硒</c:v>
                </c:pt>
              </c:strCache>
            </c:strRef>
          </c:cat>
          <c:val>
            <c:numRef>
              <c:f>Sheet1!$B$2:$B$8</c:f>
              <c:numCache>
                <c:formatCode>General</c:formatCode>
                <c:ptCount val="7"/>
                <c:pt idx="0">
                  <c:v>81</c:v>
                </c:pt>
                <c:pt idx="1">
                  <c:v>38</c:v>
                </c:pt>
                <c:pt idx="2">
                  <c:v>5</c:v>
                </c:pt>
                <c:pt idx="3">
                  <c:v>22</c:v>
                </c:pt>
                <c:pt idx="4">
                  <c:v>17</c:v>
                </c:pt>
                <c:pt idx="5">
                  <c:v>18</c:v>
                </c:pt>
                <c:pt idx="6">
                  <c:v>24</c:v>
                </c:pt>
              </c:numCache>
            </c:numRef>
          </c:val>
        </c:ser>
        <c:dLbls>
          <c:showLegendKey val="0"/>
          <c:showVal val="0"/>
          <c:showCatName val="0"/>
          <c:showSerName val="0"/>
          <c:showPercent val="1"/>
          <c:showBubbleSize val="0"/>
          <c:showLeaderLines val="1"/>
        </c:dLbls>
        <c:firstSliceAng val="0"/>
      </c:pieChart>
      <c:spPr>
        <a:noFill/>
        <a:ln w="25367">
          <a:noFill/>
        </a:ln>
        <a:effectLst/>
      </c:spPr>
    </c:plotArea>
    <c:legend>
      <c:legendPos val="r"/>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r>
              <a:rPr lang="zh-CN" sz="1600"/>
              <a:t>大蒜、西兰花、甘蓝</a:t>
            </a:r>
            <a:endParaRPr lang="en-US" sz="1600"/>
          </a:p>
        </c:rich>
      </c:tx>
      <c:layout/>
      <c:overlay val="0"/>
    </c:title>
    <c:autoTitleDeleted val="0"/>
    <c:plotArea>
      <c:layout/>
      <c:pieChart>
        <c:varyColors val="1"/>
        <c:ser>
          <c:idx val="0"/>
          <c:order val="0"/>
          <c:tx>
            <c:strRef>
              <c:f>Sheet1!$B$1</c:f>
              <c:strCache>
                <c:ptCount val="1"/>
                <c:pt idx="0">
                  <c:v>大蒜、西兰花、甘蓝</c:v>
                </c:pt>
              </c:strCache>
            </c:strRef>
          </c:tx>
          <c:explosion val="0"/>
          <c:dPt>
            <c:idx val="0"/>
            <c:bubble3D val="0"/>
          </c:dPt>
          <c:dPt>
            <c:idx val="1"/>
            <c:bubble3D val="0"/>
          </c:dPt>
          <c:dPt>
            <c:idx val="2"/>
            <c:bubble3D val="0"/>
          </c:dPt>
          <c:dPt>
            <c:idx val="3"/>
            <c:bubble3D val="0"/>
          </c:dPt>
          <c:dPt>
            <c:idx val="4"/>
            <c:bubble3D val="0"/>
          </c:dPt>
          <c:dPt>
            <c:idx val="5"/>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2</c:v>
                </c:pt>
                <c:pt idx="1">
                  <c:v>0</c:v>
                </c:pt>
                <c:pt idx="2">
                  <c:v>6</c:v>
                </c:pt>
                <c:pt idx="3">
                  <c:v>11</c:v>
                </c:pt>
                <c:pt idx="4">
                  <c:v>3</c:v>
                </c:pt>
                <c:pt idx="5">
                  <c:v>18</c:v>
                </c:pt>
              </c:numCache>
            </c:numRef>
          </c:val>
        </c:ser>
        <c:dLbls>
          <c:showLegendKey val="0"/>
          <c:showVal val="0"/>
          <c:showCatName val="0"/>
          <c:showSerName val="0"/>
          <c:showPercent val="1"/>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userShapes r:id="rId2"/>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食用菌及其制品</a:t>
            </a:r>
            <a:endParaRPr lang="zh-CN" altLang="en-US" sz="1600"/>
          </a:p>
        </c:rich>
      </c:tx>
      <c:layout/>
      <c:overlay val="0"/>
      <c:spPr>
        <a:noFill/>
        <a:ln>
          <a:noFill/>
        </a:ln>
        <a:effectLst/>
      </c:spPr>
    </c:title>
    <c:autoTitleDeleted val="0"/>
    <c:plotArea>
      <c:layout/>
      <c:pieChart>
        <c:varyColors val="1"/>
        <c:ser>
          <c:idx val="0"/>
          <c:order val="0"/>
          <c:tx>
            <c:strRef>
              <c:f>Sheet1!$B$1</c:f>
              <c:strCache>
                <c:ptCount val="1"/>
                <c:pt idx="0">
                  <c:v>食用菌类（干基）</c:v>
                </c:pt>
              </c:strCache>
            </c:strRef>
          </c:tx>
          <c:explosion val="0"/>
          <c:dPt>
            <c:idx val="0"/>
            <c:bubble3D val="0"/>
            <c:spPr>
              <a:solidFill>
                <a:schemeClr val="accent6">
                  <a:shade val="50000"/>
                </a:schemeClr>
              </a:solidFill>
              <a:ln>
                <a:noFill/>
              </a:ln>
              <a:effectLst/>
            </c:spPr>
          </c:dPt>
          <c:dPt>
            <c:idx val="1"/>
            <c:bubble3D val="0"/>
            <c:spPr>
              <a:solidFill>
                <a:schemeClr val="accent6">
                  <a:shade val="70000"/>
                </a:schemeClr>
              </a:solidFill>
              <a:ln>
                <a:noFill/>
              </a:ln>
              <a:effectLst/>
            </c:spPr>
          </c:dPt>
          <c:dPt>
            <c:idx val="2"/>
            <c:bubble3D val="0"/>
            <c:spPr>
              <a:solidFill>
                <a:schemeClr val="accent6">
                  <a:shade val="90000"/>
                </a:schemeClr>
              </a:solidFill>
              <a:ln>
                <a:noFill/>
              </a:ln>
              <a:effectLst/>
            </c:spPr>
          </c:dPt>
          <c:dPt>
            <c:idx val="3"/>
            <c:bubble3D val="0"/>
            <c:spPr>
              <a:solidFill>
                <a:schemeClr val="accent6">
                  <a:tint val="90000"/>
                </a:schemeClr>
              </a:solidFill>
              <a:ln>
                <a:noFill/>
              </a:ln>
              <a:effectLst/>
            </c:spPr>
          </c:dPt>
          <c:dPt>
            <c:idx val="4"/>
            <c:bubble3D val="0"/>
            <c:spPr>
              <a:solidFill>
                <a:schemeClr val="accent6">
                  <a:tint val="70000"/>
                </a:schemeClr>
              </a:solidFill>
              <a:ln>
                <a:noFill/>
              </a:ln>
              <a:effectLst/>
            </c:spPr>
          </c:dPt>
          <c:dPt>
            <c:idx val="5"/>
            <c:bubble3D val="0"/>
            <c:spPr>
              <a:solidFill>
                <a:schemeClr val="accent6">
                  <a:tint val="50000"/>
                </a:schemeClr>
              </a:solidFill>
              <a:ln>
                <a:noFill/>
              </a:ln>
              <a:effectLst/>
            </c:spPr>
          </c:dPt>
          <c:dLbls>
            <c:spPr>
              <a:noFill/>
              <a:ln w="25366">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28</c:v>
                </c:pt>
                <c:pt idx="1">
                  <c:v>5</c:v>
                </c:pt>
                <c:pt idx="2">
                  <c:v>16</c:v>
                </c:pt>
                <c:pt idx="3">
                  <c:v>8</c:v>
                </c:pt>
                <c:pt idx="4">
                  <c:v>13</c:v>
                </c:pt>
                <c:pt idx="5">
                  <c:v>26</c:v>
                </c:pt>
              </c:numCache>
            </c:numRef>
          </c:val>
        </c:ser>
        <c:dLbls>
          <c:showLegendKey val="0"/>
          <c:showVal val="0"/>
          <c:showCatName val="0"/>
          <c:showSerName val="0"/>
          <c:showPercent val="1"/>
          <c:showBubbleSize val="0"/>
          <c:showLeaderLines val="1"/>
        </c:dLbls>
        <c:firstSliceAng val="0"/>
      </c:pieChart>
      <c:spPr>
        <a:noFill/>
        <a:ln w="25366">
          <a:noFill/>
        </a:ln>
        <a:effectLst/>
      </c:spPr>
    </c:plotArea>
    <c:legend>
      <c:legendPos val="r"/>
      <c:layout>
        <c:manualLayout>
          <c:xMode val="edge"/>
          <c:yMode val="edge"/>
          <c:x val="0.637374244729728"/>
          <c:y val="0.264530646904431"/>
          <c:w val="0.335089746051912"/>
          <c:h val="0.553917708815809"/>
        </c:manualLayout>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水果及其制品</a:t>
            </a:r>
            <a:endParaRPr lang="zh-CN" altLang="en-US" sz="1600"/>
          </a:p>
        </c:rich>
      </c:tx>
      <c:layout>
        <c:manualLayout>
          <c:xMode val="edge"/>
          <c:yMode val="edge"/>
          <c:x val="0.329298725089009"/>
          <c:y val="0.0793648293963257"/>
        </c:manualLayout>
      </c:layout>
      <c:overlay val="0"/>
      <c:spPr>
        <a:noFill/>
        <a:ln>
          <a:noFill/>
        </a:ln>
        <a:effectLst/>
      </c:spPr>
    </c:title>
    <c:autoTitleDeleted val="0"/>
    <c:plotArea>
      <c:layout/>
      <c:pieChart>
        <c:varyColors val="1"/>
        <c:ser>
          <c:idx val="0"/>
          <c:order val="0"/>
          <c:tx>
            <c:strRef>
              <c:f>Sheet1!$B$1</c:f>
              <c:strCache>
                <c:ptCount val="1"/>
                <c:pt idx="0">
                  <c:v>水果类（鲜）</c:v>
                </c:pt>
              </c:strCache>
            </c:strRef>
          </c:tx>
          <c:explosion val="0"/>
          <c:dPt>
            <c:idx val="0"/>
            <c:bubble3D val="0"/>
            <c:spPr>
              <a:solidFill>
                <a:schemeClr val="accent6">
                  <a:shade val="47000"/>
                </a:schemeClr>
              </a:solidFill>
              <a:ln>
                <a:noFill/>
              </a:ln>
              <a:effectLst/>
            </c:spPr>
          </c:dPt>
          <c:dPt>
            <c:idx val="1"/>
            <c:bubble3D val="0"/>
            <c:spPr>
              <a:solidFill>
                <a:schemeClr val="accent6">
                  <a:shade val="65000"/>
                </a:schemeClr>
              </a:solidFill>
              <a:ln>
                <a:noFill/>
              </a:ln>
              <a:effectLst/>
            </c:spPr>
          </c:dPt>
          <c:dPt>
            <c:idx val="2"/>
            <c:bubble3D val="0"/>
            <c:spPr>
              <a:solidFill>
                <a:schemeClr val="accent6">
                  <a:shade val="82000"/>
                </a:schemeClr>
              </a:solidFill>
              <a:ln>
                <a:noFill/>
              </a:ln>
              <a:effectLst/>
            </c:spPr>
          </c:dPt>
          <c:dPt>
            <c:idx val="3"/>
            <c:bubble3D val="0"/>
            <c:spPr>
              <a:solidFill>
                <a:schemeClr val="accent6"/>
              </a:solidFill>
              <a:ln>
                <a:noFill/>
              </a:ln>
              <a:effectLst/>
            </c:spPr>
          </c:dPt>
          <c:dPt>
            <c:idx val="4"/>
            <c:bubble3D val="0"/>
            <c:spPr>
              <a:solidFill>
                <a:schemeClr val="accent6">
                  <a:tint val="83000"/>
                </a:schemeClr>
              </a:solidFill>
              <a:ln>
                <a:noFill/>
              </a:ln>
              <a:effectLst/>
            </c:spPr>
          </c:dPt>
          <c:dPt>
            <c:idx val="5"/>
            <c:bubble3D val="0"/>
            <c:spPr>
              <a:solidFill>
                <a:schemeClr val="accent6">
                  <a:tint val="65000"/>
                </a:schemeClr>
              </a:solidFill>
              <a:ln>
                <a:noFill/>
              </a:ln>
              <a:effectLst/>
            </c:spPr>
          </c:dPt>
          <c:dPt>
            <c:idx val="6"/>
            <c:bubble3D val="0"/>
            <c:spPr>
              <a:solidFill>
                <a:schemeClr val="accent6">
                  <a:tint val="48000"/>
                </a:schemeClr>
              </a:solidFill>
              <a:ln>
                <a:noFill/>
              </a:ln>
              <a:effectLst/>
            </c:spPr>
          </c:dPt>
          <c:dLbls>
            <c:spPr>
              <a:noFill/>
              <a:ln w="25368">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Sheet1!$A$2:$A$8</c:f>
              <c:strCache>
                <c:ptCount val="7"/>
                <c:pt idx="0">
                  <c:v>总硒＜7.5</c:v>
                </c:pt>
                <c:pt idx="1">
                  <c:v>7.5≤总硒＜15</c:v>
                </c:pt>
                <c:pt idx="2">
                  <c:v>15≤总硒＜20</c:v>
                </c:pt>
                <c:pt idx="3">
                  <c:v>20≤总硒＜50</c:v>
                </c:pt>
                <c:pt idx="4">
                  <c:v>50≤总硒＜100</c:v>
                </c:pt>
                <c:pt idx="5">
                  <c:v>100≤总硒＜200</c:v>
                </c:pt>
                <c:pt idx="6">
                  <c:v>200≤总硒</c:v>
                </c:pt>
              </c:strCache>
            </c:strRef>
          </c:cat>
          <c:val>
            <c:numRef>
              <c:f>Sheet1!$B$2:$B$8</c:f>
              <c:numCache>
                <c:formatCode>General</c:formatCode>
                <c:ptCount val="7"/>
                <c:pt idx="0">
                  <c:v>117</c:v>
                </c:pt>
                <c:pt idx="1">
                  <c:v>34</c:v>
                </c:pt>
                <c:pt idx="2">
                  <c:v>9</c:v>
                </c:pt>
                <c:pt idx="3">
                  <c:v>18</c:v>
                </c:pt>
                <c:pt idx="4">
                  <c:v>13</c:v>
                </c:pt>
                <c:pt idx="5">
                  <c:v>3</c:v>
                </c:pt>
                <c:pt idx="6">
                  <c:v>0</c:v>
                </c:pt>
              </c:numCache>
            </c:numRef>
          </c:val>
        </c:ser>
        <c:dLbls>
          <c:showLegendKey val="0"/>
          <c:showVal val="0"/>
          <c:showCatName val="0"/>
          <c:showSerName val="0"/>
          <c:showPercent val="1"/>
          <c:showBubbleSize val="0"/>
          <c:showLeaderLines val="1"/>
        </c:dLbls>
        <c:firstSliceAng val="0"/>
      </c:pieChart>
      <c:spPr>
        <a:noFill/>
        <a:ln w="25368">
          <a:noFill/>
        </a:ln>
        <a:effectLst/>
      </c:spPr>
    </c:plotArea>
    <c:legend>
      <c:legendPos val="r"/>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茶叶、代用茶、茶制品</a:t>
            </a:r>
            <a:endParaRPr lang="zh-CN" altLang="en-US" sz="1600"/>
          </a:p>
        </c:rich>
      </c:tx>
      <c:layout>
        <c:manualLayout>
          <c:xMode val="edge"/>
          <c:yMode val="edge"/>
          <c:x val="0.215454439876441"/>
          <c:y val="0.0841270703231062"/>
        </c:manualLayout>
      </c:layout>
      <c:overlay val="0"/>
      <c:spPr>
        <a:noFill/>
        <a:ln>
          <a:noFill/>
        </a:ln>
        <a:effectLst/>
      </c:spPr>
    </c:title>
    <c:autoTitleDeleted val="0"/>
    <c:plotArea>
      <c:layout/>
      <c:pieChart>
        <c:varyColors val="1"/>
        <c:ser>
          <c:idx val="0"/>
          <c:order val="0"/>
          <c:tx>
            <c:strRef>
              <c:f>Sheet1!$B$1</c:f>
              <c:strCache>
                <c:ptCount val="1"/>
                <c:pt idx="0">
                  <c:v>茶叶、代用茶、茶制品</c:v>
                </c:pt>
              </c:strCache>
            </c:strRef>
          </c:tx>
          <c:explosion val="0"/>
          <c:dPt>
            <c:idx val="0"/>
            <c:bubble3D val="0"/>
            <c:spPr>
              <a:solidFill>
                <a:schemeClr val="accent6">
                  <a:shade val="50000"/>
                </a:schemeClr>
              </a:solidFill>
              <a:ln>
                <a:noFill/>
              </a:ln>
              <a:effectLst/>
            </c:spPr>
          </c:dPt>
          <c:dPt>
            <c:idx val="1"/>
            <c:bubble3D val="0"/>
            <c:spPr>
              <a:solidFill>
                <a:schemeClr val="accent6">
                  <a:shade val="70000"/>
                </a:schemeClr>
              </a:solidFill>
              <a:ln>
                <a:noFill/>
              </a:ln>
              <a:effectLst/>
            </c:spPr>
          </c:dPt>
          <c:dPt>
            <c:idx val="2"/>
            <c:bubble3D val="0"/>
            <c:spPr>
              <a:solidFill>
                <a:schemeClr val="accent6">
                  <a:shade val="90000"/>
                </a:schemeClr>
              </a:solidFill>
              <a:ln>
                <a:noFill/>
              </a:ln>
              <a:effectLst/>
            </c:spPr>
          </c:dPt>
          <c:dPt>
            <c:idx val="3"/>
            <c:bubble3D val="0"/>
            <c:spPr>
              <a:solidFill>
                <a:schemeClr val="accent6">
                  <a:tint val="90000"/>
                </a:schemeClr>
              </a:solidFill>
              <a:ln>
                <a:noFill/>
              </a:ln>
              <a:effectLst/>
            </c:spPr>
          </c:dPt>
          <c:dPt>
            <c:idx val="4"/>
            <c:bubble3D val="0"/>
            <c:spPr>
              <a:solidFill>
                <a:schemeClr val="accent6">
                  <a:tint val="70000"/>
                </a:schemeClr>
              </a:solidFill>
              <a:ln>
                <a:noFill/>
              </a:ln>
              <a:effectLst/>
            </c:spPr>
          </c:dPt>
          <c:dPt>
            <c:idx val="5"/>
            <c:bubble3D val="0"/>
            <c:spPr>
              <a:solidFill>
                <a:schemeClr val="accent6">
                  <a:tint val="50000"/>
                </a:schemeClr>
              </a:solidFill>
              <a:ln>
                <a:noFill/>
              </a:ln>
              <a:effectLst/>
            </c:spPr>
          </c:dPt>
          <c:dLbls>
            <c:spPr>
              <a:noFill/>
              <a:ln w="25370">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552</c:v>
                </c:pt>
                <c:pt idx="1">
                  <c:v>202</c:v>
                </c:pt>
                <c:pt idx="2">
                  <c:v>394</c:v>
                </c:pt>
                <c:pt idx="3">
                  <c:v>121</c:v>
                </c:pt>
                <c:pt idx="4">
                  <c:v>107</c:v>
                </c:pt>
                <c:pt idx="5">
                  <c:v>89</c:v>
                </c:pt>
              </c:numCache>
            </c:numRef>
          </c:val>
        </c:ser>
        <c:dLbls>
          <c:showLegendKey val="0"/>
          <c:showVal val="0"/>
          <c:showCatName val="0"/>
          <c:showSerName val="0"/>
          <c:showPercent val="1"/>
          <c:showBubbleSize val="0"/>
          <c:showLeaderLines val="1"/>
        </c:dLbls>
        <c:firstSliceAng val="0"/>
      </c:pieChart>
      <c:spPr>
        <a:noFill/>
        <a:ln w="25370">
          <a:noFill/>
        </a:ln>
        <a:effectLst/>
      </c:spPr>
    </c:plotArea>
    <c:legend>
      <c:legendPos val="r"/>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鲜、冻肉及其制品</a:t>
            </a:r>
            <a:endParaRPr lang="zh-CN" altLang="en-US" sz="1600"/>
          </a:p>
        </c:rich>
      </c:tx>
      <c:layout/>
      <c:overlay val="0"/>
      <c:spPr>
        <a:noFill/>
        <a:ln>
          <a:noFill/>
        </a:ln>
        <a:effectLst/>
      </c:spPr>
    </c:title>
    <c:autoTitleDeleted val="0"/>
    <c:plotArea>
      <c:layout/>
      <c:pieChart>
        <c:varyColors val="1"/>
        <c:ser>
          <c:idx val="0"/>
          <c:order val="0"/>
          <c:tx>
            <c:strRef>
              <c:f>Sheet1!$B$1</c:f>
              <c:strCache>
                <c:ptCount val="1"/>
                <c:pt idx="0">
                  <c:v>鲜、冻肉</c:v>
                </c:pt>
              </c:strCache>
            </c:strRef>
          </c:tx>
          <c:explosion val="0"/>
          <c:dPt>
            <c:idx val="0"/>
            <c:bubble3D val="0"/>
            <c:spPr>
              <a:solidFill>
                <a:schemeClr val="accent6">
                  <a:shade val="50000"/>
                </a:schemeClr>
              </a:solidFill>
              <a:ln>
                <a:noFill/>
              </a:ln>
              <a:effectLst/>
            </c:spPr>
          </c:dPt>
          <c:dPt>
            <c:idx val="1"/>
            <c:bubble3D val="0"/>
            <c:spPr>
              <a:solidFill>
                <a:schemeClr val="accent6">
                  <a:shade val="70000"/>
                </a:schemeClr>
              </a:solidFill>
              <a:ln>
                <a:noFill/>
              </a:ln>
              <a:effectLst/>
            </c:spPr>
          </c:dPt>
          <c:dPt>
            <c:idx val="2"/>
            <c:bubble3D val="0"/>
            <c:spPr>
              <a:solidFill>
                <a:schemeClr val="accent6">
                  <a:shade val="90000"/>
                </a:schemeClr>
              </a:solidFill>
              <a:ln>
                <a:noFill/>
              </a:ln>
              <a:effectLst/>
            </c:spPr>
          </c:dPt>
          <c:dPt>
            <c:idx val="3"/>
            <c:bubble3D val="0"/>
            <c:spPr>
              <a:solidFill>
                <a:schemeClr val="accent6">
                  <a:tint val="90000"/>
                </a:schemeClr>
              </a:solidFill>
              <a:ln>
                <a:noFill/>
              </a:ln>
              <a:effectLst/>
            </c:spPr>
          </c:dPt>
          <c:dPt>
            <c:idx val="4"/>
            <c:bubble3D val="0"/>
            <c:spPr>
              <a:solidFill>
                <a:schemeClr val="accent6">
                  <a:tint val="70000"/>
                </a:schemeClr>
              </a:solidFill>
              <a:ln>
                <a:noFill/>
              </a:ln>
              <a:effectLst/>
            </c:spPr>
          </c:dPt>
          <c:dPt>
            <c:idx val="5"/>
            <c:bubble3D val="0"/>
            <c:spPr>
              <a:solidFill>
                <a:schemeClr val="accent6">
                  <a:tint val="50000"/>
                </a:schemeClr>
              </a:solidFill>
              <a:ln>
                <a:noFill/>
              </a:ln>
              <a:effectLst/>
            </c:spPr>
          </c:dPt>
          <c:dLbls>
            <c:spPr>
              <a:noFill/>
              <a:ln w="25400">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84</c:v>
                </c:pt>
                <c:pt idx="1">
                  <c:v>39</c:v>
                </c:pt>
                <c:pt idx="2">
                  <c:v>58</c:v>
                </c:pt>
                <c:pt idx="3">
                  <c:v>15</c:v>
                </c:pt>
                <c:pt idx="4">
                  <c:v>3</c:v>
                </c:pt>
                <c:pt idx="5">
                  <c:v>0</c:v>
                </c:pt>
              </c:numCache>
            </c:numRef>
          </c:val>
        </c:ser>
        <c:dLbls>
          <c:showLegendKey val="0"/>
          <c:showVal val="0"/>
          <c:showCatName val="0"/>
          <c:showSerName val="0"/>
          <c:showPercent val="1"/>
          <c:showBubbleSize val="0"/>
          <c:showLeaderLines val="1"/>
        </c:dLbls>
        <c:firstSliceAng val="0"/>
      </c:pieChart>
      <c:spPr>
        <a:noFill/>
        <a:ln w="25400">
          <a:noFill/>
        </a:ln>
        <a:effectLst/>
      </c:spPr>
    </c:plotArea>
    <c:legend>
      <c:legendPos val="r"/>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畜禽内脏</a:t>
            </a:r>
            <a:endParaRPr lang="zh-CN" altLang="en-US" sz="1600"/>
          </a:p>
        </c:rich>
      </c:tx>
      <c:layout/>
      <c:overlay val="0"/>
      <c:spPr>
        <a:noFill/>
        <a:ln>
          <a:noFill/>
        </a:ln>
        <a:effectLst/>
      </c:spPr>
    </c:title>
    <c:autoTitleDeleted val="0"/>
    <c:plotArea>
      <c:layout/>
      <c:pieChart>
        <c:varyColors val="1"/>
        <c:ser>
          <c:idx val="0"/>
          <c:order val="0"/>
          <c:tx>
            <c:strRef>
              <c:f>Sheet1!$B$1</c:f>
              <c:strCache>
                <c:ptCount val="1"/>
                <c:pt idx="0">
                  <c:v>畜禽副产品</c:v>
                </c:pt>
              </c:strCache>
            </c:strRef>
          </c:tx>
          <c:explosion val="0"/>
          <c:dPt>
            <c:idx val="0"/>
            <c:bubble3D val="0"/>
            <c:spPr>
              <a:solidFill>
                <a:schemeClr val="accent6">
                  <a:shade val="50000"/>
                </a:schemeClr>
              </a:solidFill>
              <a:ln>
                <a:noFill/>
              </a:ln>
              <a:effectLst/>
            </c:spPr>
          </c:dPt>
          <c:dPt>
            <c:idx val="1"/>
            <c:bubble3D val="0"/>
            <c:spPr>
              <a:solidFill>
                <a:schemeClr val="accent6">
                  <a:shade val="70000"/>
                </a:schemeClr>
              </a:solidFill>
              <a:ln>
                <a:noFill/>
              </a:ln>
              <a:effectLst/>
            </c:spPr>
          </c:dPt>
          <c:dPt>
            <c:idx val="2"/>
            <c:bubble3D val="0"/>
            <c:spPr>
              <a:solidFill>
                <a:schemeClr val="accent6">
                  <a:shade val="90000"/>
                </a:schemeClr>
              </a:solidFill>
              <a:ln>
                <a:noFill/>
              </a:ln>
              <a:effectLst/>
            </c:spPr>
          </c:dPt>
          <c:dPt>
            <c:idx val="3"/>
            <c:bubble3D val="0"/>
            <c:spPr>
              <a:solidFill>
                <a:schemeClr val="accent6">
                  <a:tint val="90000"/>
                </a:schemeClr>
              </a:solidFill>
              <a:ln>
                <a:noFill/>
              </a:ln>
              <a:effectLst/>
            </c:spPr>
          </c:dPt>
          <c:dPt>
            <c:idx val="4"/>
            <c:bubble3D val="0"/>
            <c:spPr>
              <a:solidFill>
                <a:schemeClr val="accent6">
                  <a:tint val="70000"/>
                </a:schemeClr>
              </a:solidFill>
              <a:ln>
                <a:noFill/>
              </a:ln>
              <a:effectLst/>
            </c:spPr>
          </c:dPt>
          <c:dPt>
            <c:idx val="5"/>
            <c:bubble3D val="0"/>
            <c:spPr>
              <a:solidFill>
                <a:schemeClr val="accent6">
                  <a:tint val="50000"/>
                </a:schemeClr>
              </a:solidFill>
              <a:ln>
                <a:noFill/>
              </a:ln>
              <a:effectLst/>
            </c:spPr>
          </c:dPt>
          <c:dLbls>
            <c:spPr>
              <a:noFill/>
              <a:ln w="25380">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1</c:v>
                </c:pt>
                <c:pt idx="1">
                  <c:v>3</c:v>
                </c:pt>
                <c:pt idx="2">
                  <c:v>16</c:v>
                </c:pt>
                <c:pt idx="3">
                  <c:v>16</c:v>
                </c:pt>
                <c:pt idx="4">
                  <c:v>9</c:v>
                </c:pt>
                <c:pt idx="5">
                  <c:v>7</c:v>
                </c:pt>
              </c:numCache>
            </c:numRef>
          </c:val>
        </c:ser>
        <c:dLbls>
          <c:showLegendKey val="0"/>
          <c:showVal val="0"/>
          <c:showCatName val="0"/>
          <c:showSerName val="0"/>
          <c:showPercent val="1"/>
          <c:showBubbleSize val="0"/>
          <c:showLeaderLines val="1"/>
        </c:dLbls>
        <c:firstSliceAng val="0"/>
      </c:pieChart>
      <c:spPr>
        <a:noFill/>
        <a:ln w="25380">
          <a:noFill/>
        </a:ln>
        <a:effectLst/>
      </c:spPr>
    </c:plotArea>
    <c:legend>
      <c:legendPos val="r"/>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蛋及蛋制品</a:t>
            </a:r>
            <a:endParaRPr lang="zh-CN" altLang="en-US" sz="1600"/>
          </a:p>
        </c:rich>
      </c:tx>
      <c:layout/>
      <c:overlay val="0"/>
      <c:spPr>
        <a:noFill/>
        <a:ln>
          <a:noFill/>
        </a:ln>
        <a:effectLst/>
      </c:spPr>
    </c:title>
    <c:autoTitleDeleted val="0"/>
    <c:plotArea>
      <c:layout/>
      <c:pieChart>
        <c:varyColors val="1"/>
        <c:ser>
          <c:idx val="0"/>
          <c:order val="0"/>
          <c:tx>
            <c:strRef>
              <c:f>Sheet1!$B$1</c:f>
              <c:strCache>
                <c:ptCount val="1"/>
                <c:pt idx="0">
                  <c:v>蛋类产品</c:v>
                </c:pt>
              </c:strCache>
            </c:strRef>
          </c:tx>
          <c:explosion val="0"/>
          <c:dPt>
            <c:idx val="0"/>
            <c:bubble3D val="0"/>
            <c:spPr>
              <a:solidFill>
                <a:schemeClr val="accent6">
                  <a:shade val="50000"/>
                </a:schemeClr>
              </a:solidFill>
              <a:ln>
                <a:noFill/>
              </a:ln>
              <a:effectLst/>
            </c:spPr>
          </c:dPt>
          <c:dPt>
            <c:idx val="1"/>
            <c:bubble3D val="0"/>
            <c:spPr>
              <a:solidFill>
                <a:schemeClr val="accent6">
                  <a:shade val="70000"/>
                </a:schemeClr>
              </a:solidFill>
              <a:ln>
                <a:noFill/>
              </a:ln>
              <a:effectLst/>
            </c:spPr>
          </c:dPt>
          <c:dPt>
            <c:idx val="2"/>
            <c:bubble3D val="0"/>
            <c:spPr>
              <a:solidFill>
                <a:schemeClr val="accent6">
                  <a:shade val="90000"/>
                </a:schemeClr>
              </a:solidFill>
              <a:ln>
                <a:noFill/>
              </a:ln>
              <a:effectLst/>
            </c:spPr>
          </c:dPt>
          <c:dPt>
            <c:idx val="3"/>
            <c:bubble3D val="0"/>
            <c:spPr>
              <a:solidFill>
                <a:schemeClr val="accent6">
                  <a:tint val="90000"/>
                </a:schemeClr>
              </a:solidFill>
              <a:ln>
                <a:noFill/>
              </a:ln>
              <a:effectLst/>
            </c:spPr>
          </c:dPt>
          <c:dPt>
            <c:idx val="4"/>
            <c:bubble3D val="0"/>
            <c:spPr>
              <a:solidFill>
                <a:schemeClr val="accent6">
                  <a:tint val="70000"/>
                </a:schemeClr>
              </a:solidFill>
              <a:ln>
                <a:noFill/>
              </a:ln>
              <a:effectLst/>
            </c:spPr>
          </c:dPt>
          <c:dPt>
            <c:idx val="5"/>
            <c:bubble3D val="0"/>
            <c:spPr>
              <a:solidFill>
                <a:schemeClr val="accent6">
                  <a:tint val="50000"/>
                </a:schemeClr>
              </a:solidFill>
              <a:ln>
                <a:noFill/>
              </a:ln>
              <a:effectLst/>
            </c:spPr>
          </c:dPt>
          <c:dLbls>
            <c:spPr>
              <a:noFill/>
              <a:ln w="25372">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26</c:v>
                </c:pt>
                <c:pt idx="1">
                  <c:v>60</c:v>
                </c:pt>
                <c:pt idx="2">
                  <c:v>153</c:v>
                </c:pt>
                <c:pt idx="3">
                  <c:v>16</c:v>
                </c:pt>
                <c:pt idx="4">
                  <c:v>2</c:v>
                </c:pt>
                <c:pt idx="5">
                  <c:v>6</c:v>
                </c:pt>
              </c:numCache>
            </c:numRef>
          </c:val>
        </c:ser>
        <c:dLbls>
          <c:showLegendKey val="0"/>
          <c:showVal val="0"/>
          <c:showCatName val="0"/>
          <c:showSerName val="0"/>
          <c:showPercent val="1"/>
          <c:showBubbleSize val="0"/>
          <c:showLeaderLines val="1"/>
        </c:dLbls>
        <c:firstSliceAng val="0"/>
      </c:pieChart>
      <c:spPr>
        <a:noFill/>
        <a:ln w="25372">
          <a:noFill/>
        </a:ln>
        <a:effectLst/>
      </c:spPr>
    </c:plotArea>
    <c:legend>
      <c:legendPos val="r"/>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600"/>
              <a:t>水产动物及其制品</a:t>
            </a:r>
            <a:endParaRPr lang="zh-CN" altLang="en-US" sz="1600"/>
          </a:p>
        </c:rich>
      </c:tx>
      <c:layout/>
      <c:overlay val="0"/>
      <c:spPr>
        <a:noFill/>
        <a:ln>
          <a:noFill/>
        </a:ln>
        <a:effectLst/>
      </c:spPr>
    </c:title>
    <c:autoTitleDeleted val="0"/>
    <c:plotArea>
      <c:layout/>
      <c:pieChart>
        <c:varyColors val="1"/>
        <c:ser>
          <c:idx val="0"/>
          <c:order val="0"/>
          <c:tx>
            <c:strRef>
              <c:f>Sheet1!$B$1</c:f>
              <c:strCache>
                <c:ptCount val="1"/>
                <c:pt idx="0">
                  <c:v>动物性水产品</c:v>
                </c:pt>
              </c:strCache>
            </c:strRef>
          </c:tx>
          <c:explosion val="0"/>
          <c:dPt>
            <c:idx val="0"/>
            <c:bubble3D val="0"/>
            <c:spPr>
              <a:solidFill>
                <a:schemeClr val="accent6">
                  <a:shade val="50000"/>
                </a:schemeClr>
              </a:solidFill>
              <a:ln>
                <a:noFill/>
              </a:ln>
              <a:effectLst/>
            </c:spPr>
          </c:dPt>
          <c:dPt>
            <c:idx val="1"/>
            <c:bubble3D val="0"/>
            <c:spPr>
              <a:solidFill>
                <a:schemeClr val="accent6">
                  <a:shade val="70000"/>
                </a:schemeClr>
              </a:solidFill>
              <a:ln>
                <a:noFill/>
              </a:ln>
              <a:effectLst/>
            </c:spPr>
          </c:dPt>
          <c:dPt>
            <c:idx val="2"/>
            <c:bubble3D val="0"/>
            <c:spPr>
              <a:solidFill>
                <a:schemeClr val="accent6">
                  <a:shade val="90000"/>
                </a:schemeClr>
              </a:solidFill>
              <a:ln>
                <a:noFill/>
              </a:ln>
              <a:effectLst/>
            </c:spPr>
          </c:dPt>
          <c:dPt>
            <c:idx val="3"/>
            <c:bubble3D val="0"/>
            <c:spPr>
              <a:solidFill>
                <a:schemeClr val="accent6">
                  <a:tint val="90000"/>
                </a:schemeClr>
              </a:solidFill>
              <a:ln>
                <a:noFill/>
              </a:ln>
              <a:effectLst/>
            </c:spPr>
          </c:dPt>
          <c:dPt>
            <c:idx val="4"/>
            <c:bubble3D val="0"/>
            <c:spPr>
              <a:solidFill>
                <a:schemeClr val="accent6">
                  <a:tint val="70000"/>
                </a:schemeClr>
              </a:solidFill>
              <a:ln>
                <a:noFill/>
              </a:ln>
              <a:effectLst/>
            </c:spPr>
          </c:dPt>
          <c:dPt>
            <c:idx val="5"/>
            <c:bubble3D val="0"/>
            <c:spPr>
              <a:solidFill>
                <a:schemeClr val="accent6">
                  <a:tint val="50000"/>
                </a:schemeClr>
              </a:solidFill>
              <a:ln>
                <a:noFill/>
              </a:ln>
              <a:effectLst/>
            </c:spPr>
          </c:dPt>
          <c:dLbls>
            <c:spPr>
              <a:noFill/>
              <a:ln w="25370">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6350" cap="flat" cmpd="sng" algn="ctr">
                      <a:solidFill>
                        <a:schemeClr val="tx1"/>
                      </a:solidFill>
                      <a:prstDash val="solid"/>
                      <a:round/>
                    </a:ln>
                    <a:effectLst/>
                  </c:spPr>
                </c15:leaderLines>
              </c:ext>
            </c:extLst>
          </c:dLbls>
          <c:cat>
            <c:strRef>
              <c:f>Sheet1!$A$2:$A$7</c:f>
              <c:strCache>
                <c:ptCount val="6"/>
                <c:pt idx="0">
                  <c:v>7.5≤总硒＜15</c:v>
                </c:pt>
                <c:pt idx="1">
                  <c:v>15≤总硒＜20</c:v>
                </c:pt>
                <c:pt idx="2">
                  <c:v>20≤总硒＜50</c:v>
                </c:pt>
                <c:pt idx="3">
                  <c:v>50≤总硒＜100</c:v>
                </c:pt>
                <c:pt idx="4">
                  <c:v>100≤总硒＜200</c:v>
                </c:pt>
                <c:pt idx="5">
                  <c:v>200≤总硒</c:v>
                </c:pt>
              </c:strCache>
            </c:strRef>
          </c:cat>
          <c:val>
            <c:numRef>
              <c:f>Sheet1!$B$2:$B$7</c:f>
              <c:numCache>
                <c:formatCode>General</c:formatCode>
                <c:ptCount val="6"/>
                <c:pt idx="0">
                  <c:v>17</c:v>
                </c:pt>
                <c:pt idx="1">
                  <c:v>18</c:v>
                </c:pt>
                <c:pt idx="2">
                  <c:v>25</c:v>
                </c:pt>
                <c:pt idx="3">
                  <c:v>19</c:v>
                </c:pt>
                <c:pt idx="4">
                  <c:v>3</c:v>
                </c:pt>
                <c:pt idx="5">
                  <c:v>1</c:v>
                </c:pt>
              </c:numCache>
            </c:numRef>
          </c:val>
        </c:ser>
        <c:dLbls>
          <c:showLegendKey val="0"/>
          <c:showVal val="0"/>
          <c:showCatName val="0"/>
          <c:showSerName val="0"/>
          <c:showPercent val="1"/>
          <c:showBubbleSize val="0"/>
          <c:showLeaderLines val="1"/>
        </c:dLbls>
        <c:firstSliceAng val="0"/>
      </c:pieChart>
      <c:spPr>
        <a:noFill/>
        <a:ln w="25370">
          <a:noFill/>
        </a:ln>
        <a:effectLst/>
      </c:spPr>
    </c:plotArea>
    <c:legend>
      <c:legendPos val="r"/>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spPr>
    <a:solidFill>
      <a:schemeClr val="bg1"/>
    </a:solidFill>
    <a:ln w="6350" cap="flat" cmpd="sng" algn="ctr">
      <a:solidFill>
        <a:schemeClr val="tx1">
          <a:tint val="75000"/>
        </a:schemeClr>
      </a:solidFill>
      <a:prstDash val="solid"/>
      <a:round/>
    </a:ln>
    <a:effectLst/>
  </c:spPr>
  <c:txPr>
    <a:bodyPr/>
    <a:lstStyle/>
    <a:p>
      <a:pPr>
        <a:defRPr lang="zh-CN"/>
      </a:pPr>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0.68629</cdr:x>
      <cdr:y>0.91694</cdr:y>
    </cdr:from>
    <cdr:to>
      <cdr:x>0.9997</cdr:x>
      <cdr:y>1</cdr:y>
    </cdr:to>
    <cdr:sp>
      <cdr:nvSpPr>
        <cdr:cNvPr id="2" name="矩形 1"/>
        <cdr:cNvSpPr/>
      </cdr:nvSpPr>
      <cdr:spPr xmlns:a="http://schemas.openxmlformats.org/drawingml/2006/main">
        <a:xfrm xmlns:a="http://schemas.openxmlformats.org/drawingml/2006/main">
          <a:off x="2058692" y="2380848"/>
          <a:ext cx="940148" cy="215667"/>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2.xml><?xml version="1.0" encoding="utf-8"?>
<c:userShapes xmlns:c="http://schemas.openxmlformats.org/drawingml/2006/chart">
  <cdr:relSizeAnchor xmlns:cdr="http://schemas.openxmlformats.org/drawingml/2006/chartDrawing">
    <cdr:from>
      <cdr:x>0.68588</cdr:x>
      <cdr:y>0.9183</cdr:y>
    </cdr:from>
    <cdr:to>
      <cdr:x>0.99958</cdr:x>
      <cdr:y>1</cdr:y>
    </cdr:to>
    <cdr:sp>
      <cdr:nvSpPr>
        <cdr:cNvPr id="2" name="矩形 1"/>
        <cdr:cNvSpPr/>
      </cdr:nvSpPr>
      <cdr:spPr xmlns:a="http://schemas.openxmlformats.org/drawingml/2006/main">
        <a:xfrm xmlns:a="http://schemas.openxmlformats.org/drawingml/2006/main">
          <a:off x="2055843" y="2424394"/>
          <a:ext cx="940279" cy="215661"/>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3.xml><?xml version="1.0" encoding="utf-8"?>
<c:userShapes xmlns:c="http://schemas.openxmlformats.org/drawingml/2006/chart">
  <cdr:relSizeAnchor xmlns:cdr="http://schemas.openxmlformats.org/drawingml/2006/chartDrawing">
    <cdr:from>
      <cdr:x>0.69278</cdr:x>
      <cdr:y>0.90557</cdr:y>
    </cdr:from>
    <cdr:to>
      <cdr:x>1</cdr:x>
      <cdr:y>0.99863</cdr:y>
    </cdr:to>
    <cdr:sp>
      <cdr:nvSpPr>
        <cdr:cNvPr id="2" name="矩形 1"/>
        <cdr:cNvSpPr/>
      </cdr:nvSpPr>
      <cdr:spPr xmlns:a="http://schemas.openxmlformats.org/drawingml/2006/main">
        <a:xfrm xmlns:a="http://schemas.openxmlformats.org/drawingml/2006/main">
          <a:off x="2122051" y="2098495"/>
          <a:ext cx="940279" cy="215661"/>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4.xml><?xml version="1.0" encoding="utf-8"?>
<c:userShapes xmlns:c="http://schemas.openxmlformats.org/drawingml/2006/chart">
  <cdr:relSizeAnchor xmlns:cdr="http://schemas.openxmlformats.org/drawingml/2006/chartDrawing">
    <cdr:from>
      <cdr:x>0.68629</cdr:x>
      <cdr:y>0.91694</cdr:y>
    </cdr:from>
    <cdr:to>
      <cdr:x>0.9997</cdr:x>
      <cdr:y>1</cdr:y>
    </cdr:to>
    <cdr:sp>
      <cdr:nvSpPr>
        <cdr:cNvPr id="2" name="矩形 1"/>
        <cdr:cNvSpPr/>
      </cdr:nvSpPr>
      <cdr:spPr xmlns:a="http://schemas.openxmlformats.org/drawingml/2006/main">
        <a:xfrm xmlns:a="http://schemas.openxmlformats.org/drawingml/2006/main">
          <a:off x="2058692" y="2380848"/>
          <a:ext cx="940148" cy="215667"/>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5.xml><?xml version="1.0" encoding="utf-8"?>
<c:userShapes xmlns:c="http://schemas.openxmlformats.org/drawingml/2006/chart">
  <cdr:relSizeAnchor xmlns:cdr="http://schemas.openxmlformats.org/drawingml/2006/chartDrawing">
    <cdr:from>
      <cdr:x>0.68643</cdr:x>
      <cdr:y>0.91103</cdr:y>
    </cdr:from>
    <cdr:to>
      <cdr:x>1</cdr:x>
      <cdr:y>1</cdr:y>
    </cdr:to>
    <cdr:sp>
      <cdr:nvSpPr>
        <cdr:cNvPr id="2" name="矩形 1"/>
        <cdr:cNvSpPr/>
      </cdr:nvSpPr>
      <cdr:spPr xmlns:a="http://schemas.openxmlformats.org/drawingml/2006/main">
        <a:xfrm xmlns:a="http://schemas.openxmlformats.org/drawingml/2006/main">
          <a:off x="2059018" y="2208361"/>
          <a:ext cx="940279" cy="215661"/>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6.xml><?xml version="1.0" encoding="utf-8"?>
<c:userShapes xmlns:c="http://schemas.openxmlformats.org/drawingml/2006/chart">
  <cdr:relSizeAnchor xmlns:cdr="http://schemas.openxmlformats.org/drawingml/2006/chartDrawing">
    <cdr:from>
      <cdr:x>0.68643</cdr:x>
      <cdr:y>0.91103</cdr:y>
    </cdr:from>
    <cdr:to>
      <cdr:x>1</cdr:x>
      <cdr:y>1</cdr:y>
    </cdr:to>
    <cdr:sp>
      <cdr:nvSpPr>
        <cdr:cNvPr id="2" name="矩形 1"/>
        <cdr:cNvSpPr/>
      </cdr:nvSpPr>
      <cdr:spPr xmlns:a="http://schemas.openxmlformats.org/drawingml/2006/main">
        <a:xfrm xmlns:a="http://schemas.openxmlformats.org/drawingml/2006/main">
          <a:off x="2059018" y="2208361"/>
          <a:ext cx="940279" cy="215661"/>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7.xml><?xml version="1.0" encoding="utf-8"?>
<c:userShapes xmlns:c="http://schemas.openxmlformats.org/drawingml/2006/chart">
  <cdr:relSizeAnchor xmlns:cdr="http://schemas.openxmlformats.org/drawingml/2006/chartDrawing">
    <cdr:from>
      <cdr:x>0.68623</cdr:x>
      <cdr:y>0.92857</cdr:y>
    </cdr:from>
    <cdr:to>
      <cdr:x>1</cdr:x>
      <cdr:y>1</cdr:y>
    </cdr:to>
    <cdr:sp>
      <cdr:nvSpPr>
        <cdr:cNvPr id="2" name="矩形 1"/>
        <cdr:cNvSpPr/>
      </cdr:nvSpPr>
      <cdr:spPr xmlns:a="http://schemas.openxmlformats.org/drawingml/2006/main">
        <a:xfrm xmlns:a="http://schemas.openxmlformats.org/drawingml/2006/main">
          <a:off x="2056333" y="2582632"/>
          <a:ext cx="940232" cy="198668"/>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8.xml><?xml version="1.0" encoding="utf-8"?>
<c:userShapes xmlns:c="http://schemas.openxmlformats.org/drawingml/2006/chart">
  <cdr:relSizeAnchor xmlns:cdr="http://schemas.openxmlformats.org/drawingml/2006/chartDrawing">
    <cdr:from>
      <cdr:x>0.68623</cdr:x>
      <cdr:y>0.92857</cdr:y>
    </cdr:from>
    <cdr:to>
      <cdr:x>1</cdr:x>
      <cdr:y>1</cdr:y>
    </cdr:to>
    <cdr:sp>
      <cdr:nvSpPr>
        <cdr:cNvPr id="2" name="矩形 1"/>
        <cdr:cNvSpPr/>
      </cdr:nvSpPr>
      <cdr:spPr xmlns:a="http://schemas.openxmlformats.org/drawingml/2006/main">
        <a:xfrm xmlns:a="http://schemas.openxmlformats.org/drawingml/2006/main">
          <a:off x="2056333" y="2582632"/>
          <a:ext cx="940232" cy="198668"/>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9.xml><?xml version="1.0" encoding="utf-8"?>
<c:userShapes xmlns:c="http://schemas.openxmlformats.org/drawingml/2006/chart">
  <cdr:relSizeAnchor xmlns:cdr="http://schemas.openxmlformats.org/drawingml/2006/chartDrawing">
    <cdr:from>
      <cdr:x>0.69289</cdr:x>
      <cdr:y>0.91639</cdr:y>
    </cdr:from>
    <cdr:to>
      <cdr:x>1</cdr:x>
      <cdr:y>1</cdr:y>
    </cdr:to>
    <cdr:sp>
      <cdr:nvSpPr>
        <cdr:cNvPr id="2" name="矩形 1"/>
        <cdr:cNvSpPr/>
      </cdr:nvSpPr>
      <cdr:spPr xmlns:a="http://schemas.openxmlformats.org/drawingml/2006/main">
        <a:xfrm xmlns:a="http://schemas.openxmlformats.org/drawingml/2006/main">
          <a:off x="2122051" y="2363637"/>
          <a:ext cx="940279" cy="215661"/>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10.xml><?xml version="1.0" encoding="utf-8"?>
<c:userShapes xmlns:c="http://schemas.openxmlformats.org/drawingml/2006/chart">
  <cdr:relSizeAnchor xmlns:cdr="http://schemas.openxmlformats.org/drawingml/2006/chartDrawing">
    <cdr:from>
      <cdr:x>0.69283</cdr:x>
      <cdr:y>0.91497</cdr:y>
    </cdr:from>
    <cdr:to>
      <cdr:x>1</cdr:x>
      <cdr:y>1</cdr:y>
    </cdr:to>
    <cdr:sp>
      <cdr:nvSpPr>
        <cdr:cNvPr id="2" name="矩形 1"/>
        <cdr:cNvSpPr/>
      </cdr:nvSpPr>
      <cdr:spPr xmlns:a="http://schemas.openxmlformats.org/drawingml/2006/main">
        <a:xfrm xmlns:a="http://schemas.openxmlformats.org/drawingml/2006/main">
          <a:off x="2120781" y="2320505"/>
          <a:ext cx="940279" cy="215661"/>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11.xml><?xml version="1.0" encoding="utf-8"?>
<c:userShapes xmlns:c="http://schemas.openxmlformats.org/drawingml/2006/chart">
  <cdr:relSizeAnchor xmlns:cdr="http://schemas.openxmlformats.org/drawingml/2006/chartDrawing">
    <cdr:from>
      <cdr:x>0.69275</cdr:x>
      <cdr:y>0.92163</cdr:y>
    </cdr:from>
    <cdr:to>
      <cdr:x>0.99979</cdr:x>
      <cdr:y>1</cdr:y>
    </cdr:to>
    <cdr:sp>
      <cdr:nvSpPr>
        <cdr:cNvPr id="2" name="矩形 1"/>
        <cdr:cNvSpPr/>
      </cdr:nvSpPr>
      <cdr:spPr xmlns:a="http://schemas.openxmlformats.org/drawingml/2006/main">
        <a:xfrm xmlns:a="http://schemas.openxmlformats.org/drawingml/2006/main">
          <a:off x="2121416" y="2536165"/>
          <a:ext cx="940279" cy="215661"/>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drawings/drawing12.xml><?xml version="1.0" encoding="utf-8"?>
<c:userShapes xmlns:c="http://schemas.openxmlformats.org/drawingml/2006/chart">
  <cdr:relSizeAnchor xmlns:cdr="http://schemas.openxmlformats.org/drawingml/2006/chartDrawing">
    <cdr:from>
      <cdr:x>0.69289</cdr:x>
      <cdr:y>0.9183</cdr:y>
    </cdr:from>
    <cdr:to>
      <cdr:x>1</cdr:x>
      <cdr:y>1</cdr:y>
    </cdr:to>
    <cdr:sp>
      <cdr:nvSpPr>
        <cdr:cNvPr id="2" name="矩形 1"/>
        <cdr:cNvSpPr/>
      </cdr:nvSpPr>
      <cdr:spPr xmlns:a="http://schemas.openxmlformats.org/drawingml/2006/main">
        <a:xfrm xmlns:a="http://schemas.openxmlformats.org/drawingml/2006/main">
          <a:off x="2122686" y="2424393"/>
          <a:ext cx="940279" cy="215661"/>
        </a:xfrm>
        <a:prstGeom xmlns:a="http://schemas.openxmlformats.org/drawingml/2006/main" prst="rect">
          <a:avLst/>
        </a:prstGeom>
      </cdr:spPr>
      <cdr:txBody xmlns:a="http://schemas.openxmlformats.org/drawingml/2006/main">
        <a:bodyPr vert="horz" wrap="square" lIns="45720" tIns="45720" rIns="45720" bIns="45720" rtlCol="0" anchor="t" anchorCtr="0">
          <a:normAutofit/>
        </a:bodyPr>
        <a:lstStyle>
          <a:lvl1pPr marL="0" indent="0">
            <a:defRPr sz="1100">
              <a:latin typeface="Calibri" panose="020F0502020204030204"/>
            </a:defRPr>
          </a:lvl1pPr>
          <a:lvl2pPr marL="457200" indent="0">
            <a:defRPr sz="1100">
              <a:latin typeface="Calibri" panose="020F0502020204030204"/>
            </a:defRPr>
          </a:lvl2pPr>
          <a:lvl3pPr marL="914400" indent="0">
            <a:defRPr sz="1100">
              <a:latin typeface="Calibri" panose="020F0502020204030204"/>
            </a:defRPr>
          </a:lvl3pPr>
          <a:lvl4pPr marL="1371600" indent="0">
            <a:defRPr sz="1100">
              <a:latin typeface="Calibri" panose="020F0502020204030204"/>
            </a:defRPr>
          </a:lvl4pPr>
          <a:lvl5pPr marL="1828800" indent="0">
            <a:defRPr sz="1100">
              <a:latin typeface="Calibri" panose="020F0502020204030204"/>
            </a:defRPr>
          </a:lvl5pPr>
          <a:lvl6pPr marL="2286000" indent="0">
            <a:defRPr sz="1100">
              <a:latin typeface="Calibri" panose="020F0502020204030204"/>
            </a:defRPr>
          </a:lvl6pPr>
          <a:lvl7pPr marL="2743200" indent="0">
            <a:defRPr sz="1100">
              <a:latin typeface="Calibri" panose="020F0502020204030204"/>
            </a:defRPr>
          </a:lvl7pPr>
          <a:lvl8pPr marL="3200400" indent="0">
            <a:defRPr sz="1100">
              <a:latin typeface="Calibri" panose="020F0502020204030204"/>
            </a:defRPr>
          </a:lvl8pPr>
          <a:lvl9pPr marL="3657600" indent="0">
            <a:defRPr sz="1100">
              <a:latin typeface="Calibri" panose="020F0502020204030204"/>
            </a:defRPr>
          </a:lvl9pPr>
        </a:lstStyle>
        <a:p>
          <a:r>
            <a:rPr lang="zh-CN" altLang="en-US" sz="800"/>
            <a:t>单位：</a:t>
          </a:r>
          <a:r>
            <a:rPr lang="en-US" altLang="zh-CN" sz="800"/>
            <a:t>μg/100g</a:t>
          </a:r>
          <a:endParaRPr lang="zh-CN" altLang="en-US" sz="800"/>
        </a:p>
      </cdr:txBody>
    </cdr:sp>
  </cdr:relSizeAnchor>
</c:userShap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C2BCBE-2610-461E-B289-73E480015EA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15</Pages>
  <Words>968</Words>
  <Characters>5518</Characters>
  <Lines>45</Lines>
  <Paragraphs>12</Paragraphs>
  <TotalTime>3745</TotalTime>
  <ScaleCrop>false</ScaleCrop>
  <LinksUpToDate>false</LinksUpToDate>
  <CharactersWithSpaces>6474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2020-08-06T07:11:00Z</dcterms:created>
  <dc:creator>dreamsummit</dc:creator>
  <cp:lastModifiedBy>Administrator</cp:lastModifiedBy>
  <cp:lastPrinted>2020-11-09T02:30:00Z</cp:lastPrinted>
  <dcterms:modified xsi:type="dcterms:W3CDTF">2021-01-28T09:03:34Z</dcterms:modified>
  <cp:revision>172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